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Argent Workbench</w:t>
      </w:r>
    </w:p>
    <w:p>
      <w:pPr>
        <w:pStyle w:val="Subtitle"/>
      </w:pPr>
      <w:r>
        <w:t>Product feature summary</w:t>
      </w:r>
    </w:p>
    <w:p>
      <w:r>
        <w:rPr>
          <w:b w:val="0"/>
        </w:rPr>
        <w:t>Website content and product capabilities</w:t>
      </w:r>
    </w:p>
    <w:p>
      <w:pPr>
        <w:spacing w:before="440" w:after="360"/>
      </w:pPr>
      <w:r>
        <w:rPr>
          <w:b/>
        </w:rPr>
        <w:t>One connected platform for your people, operations and assurance.</w:t>
      </w:r>
    </w:p>
    <w:p>
      <w:r>
        <w:rPr>
          <w:b w:val="0"/>
        </w:rPr>
        <w:t>Argent brings workforce management, learning, health, safety, risk and operational processes into one configurable business platform.</w:t>
      </w:r>
    </w:p>
    <w:p>
      <w:r>
        <w:rPr>
          <w:b w:val="0"/>
        </w:rPr>
        <w:t>From a worker’s first induction to their daily tasks, from a risk assessment to the verification of a critical control, Argent connects the people, evidence, approvals and actions behind your operation.</w:t>
      </w:r>
    </w:p>
    <w:p>
      <w:r>
        <w:rPr>
          <w:b w:val="0"/>
        </w:rPr>
        <w:t>Instead of managing each responsibility in isolation, your business gains a shared view of what is required, who is responsible and what still needs attention.</w:t>
      </w:r>
    </w:p>
    <w:p>
      <w:pPr>
        <w:spacing w:before="240"/>
      </w:pPr>
      <w:r>
        <w:rPr>
          <w:b/>
        </w:rPr>
        <w:t>Build workforce capability. Strengthen operational control. Make accountability visible.</w:t>
      </w:r>
    </w:p>
    <w:p>
      <w:r>
        <w:br w:type="page"/>
      </w:r>
    </w:p>
    <w:p>
      <w:bookmarkStart w:id="1" w:name="Contents"/>
      <w:pPr>
        <w:pStyle w:val="Title"/>
      </w:pPr>
      <w:r>
        <w:t>Contents</w:t>
      </w:r>
      <w:bookmarkEnd w:id="1"/>
    </w:p>
    <w:p>
      <w:r>
        <w:rPr>
          <w:b w:val="0"/>
        </w:rPr>
        <w:t>Select a section to go directly to its feature summary.</w:t>
      </w:r>
    </w:p>
    <w:p>
      <w:pPr>
        <w:tabs>
          <w:tab w:pos="9864" w:val="right"/>
        </w:tabs>
        <w:spacing w:after="200"/>
      </w:pPr>
      <w:hyperlink w:anchor="difference" w:history="1">
        <w:r>
          <w:rPr>
            <w:color w:val="000000"/>
          </w:rPr>
          <w:t>What makes Argent different</w:t>
        </w:r>
      </w:hyperlink>
      <w:r>
        <w:tab/>
        <w:t>3</w:t>
      </w:r>
    </w:p>
    <w:p>
      <w:pPr>
        <w:tabs>
          <w:tab w:pos="9864" w:val="right"/>
        </w:tabs>
        <w:spacing w:after="200"/>
      </w:pPr>
      <w:hyperlink w:anchor="people" w:history="1">
        <w:r>
          <w:rPr>
            <w:color w:val="000000"/>
          </w:rPr>
          <w:t>People and companies</w:t>
        </w:r>
      </w:hyperlink>
      <w:r>
        <w:tab/>
        <w:t>4</w:t>
      </w:r>
    </w:p>
    <w:p>
      <w:pPr>
        <w:tabs>
          <w:tab w:pos="9864" w:val="right"/>
        </w:tabs>
        <w:spacing w:after="200"/>
      </w:pPr>
      <w:hyperlink w:anchor="learning" w:history="1">
        <w:r>
          <w:rPr>
            <w:color w:val="000000"/>
          </w:rPr>
          <w:t>Learning</w:t>
        </w:r>
      </w:hyperlink>
      <w:r>
        <w:tab/>
        <w:t>6</w:t>
      </w:r>
    </w:p>
    <w:p>
      <w:pPr>
        <w:tabs>
          <w:tab w:pos="9864" w:val="right"/>
        </w:tabs>
        <w:spacing w:after="200"/>
      </w:pPr>
      <w:hyperlink w:anchor="health" w:history="1">
        <w:r>
          <w:rPr>
            <w:color w:val="000000"/>
          </w:rPr>
          <w:t>Health</w:t>
        </w:r>
      </w:hyperlink>
      <w:r>
        <w:tab/>
        <w:t>8</w:t>
      </w:r>
    </w:p>
    <w:p>
      <w:pPr>
        <w:tabs>
          <w:tab w:pos="9864" w:val="right"/>
        </w:tabs>
        <w:spacing w:after="200"/>
      </w:pPr>
      <w:hyperlink w:anchor="safety" w:history="1">
        <w:r>
          <w:rPr>
            <w:color w:val="000000"/>
          </w:rPr>
          <w:t>Safety and risk</w:t>
        </w:r>
      </w:hyperlink>
      <w:r>
        <w:tab/>
        <w:t>9</w:t>
      </w:r>
    </w:p>
    <w:p>
      <w:pPr>
        <w:tabs>
          <w:tab w:pos="9864" w:val="right"/>
        </w:tabs>
        <w:spacing w:after="200"/>
      </w:pPr>
      <w:hyperlink w:anchor="operations" w:history="1">
        <w:r>
          <w:rPr>
            <w:color w:val="000000"/>
          </w:rPr>
          <w:t>Operations</w:t>
        </w:r>
      </w:hyperlink>
      <w:r>
        <w:tab/>
        <w:t>11</w:t>
      </w:r>
    </w:p>
    <w:p>
      <w:pPr>
        <w:tabs>
          <w:tab w:pos="9864" w:val="right"/>
        </w:tabs>
        <w:spacing w:after="200"/>
      </w:pPr>
      <w:hyperlink w:anchor="documents" w:history="1">
        <w:r>
          <w:rPr>
            <w:color w:val="000000"/>
          </w:rPr>
          <w:t>Documents and forms</w:t>
        </w:r>
      </w:hyperlink>
      <w:r>
        <w:tab/>
        <w:t>14</w:t>
      </w:r>
    </w:p>
    <w:p>
      <w:pPr>
        <w:tabs>
          <w:tab w:pos="9864" w:val="right"/>
        </w:tabs>
        <w:spacing w:after="200"/>
      </w:pPr>
      <w:hyperlink w:anchor="reporting" w:history="1">
        <w:r>
          <w:rPr>
            <w:color w:val="000000"/>
          </w:rPr>
          <w:t>Reporting actions and automation</w:t>
        </w:r>
      </w:hyperlink>
      <w:r>
        <w:tab/>
        <w:t>15</w:t>
      </w:r>
    </w:p>
    <w:p>
      <w:pPr>
        <w:tabs>
          <w:tab w:pos="9864" w:val="right"/>
        </w:tabs>
        <w:spacing w:after="200"/>
      </w:pPr>
      <w:hyperlink w:anchor="platform" w:history="1">
        <w:r>
          <w:rPr>
            <w:color w:val="000000"/>
          </w:rPr>
          <w:t>Platform mobile and administration</w:t>
        </w:r>
      </w:hyperlink>
      <w:r>
        <w:tab/>
        <w:t>16</w:t>
      </w:r>
    </w:p>
    <w:p>
      <w:pPr>
        <w:tabs>
          <w:tab w:pos="9864" w:val="right"/>
        </w:tabs>
        <w:spacing w:after="200"/>
      </w:pPr>
      <w:hyperlink w:anchor="connected" w:history="1">
        <w:r>
          <w:rPr>
            <w:color w:val="000000"/>
          </w:rPr>
          <w:t>The connected Argent advantage</w:t>
        </w:r>
      </w:hyperlink>
      <w:r>
        <w:tab/>
        <w:t>18</w:t>
      </w:r>
    </w:p>
    <w:p>
      <w:pPr>
        <w:tabs>
          <w:tab w:pos="9864" w:val="right"/>
        </w:tabs>
        <w:spacing w:after="200"/>
      </w:pPr>
      <w:hyperlink w:anchor="business" w:history="1">
        <w:r>
          <w:rPr>
            <w:color w:val="000000"/>
          </w:rPr>
          <w:t>The business case</w:t>
        </w:r>
      </w:hyperlink>
      <w:r>
        <w:tab/>
        <w:t>18</w:t>
      </w:r>
    </w:p>
    <w:p>
      <w:pPr>
        <w:tabs>
          <w:tab w:pos="9864" w:val="right"/>
        </w:tabs>
        <w:spacing w:after="200"/>
      </w:pPr>
      <w:hyperlink w:anchor="closing" w:history="1">
        <w:r>
          <w:rPr>
            <w:color w:val="000000"/>
          </w:rPr>
          <w:t>Website closing statement</w:t>
        </w:r>
      </w:hyperlink>
      <w:r>
        <w:tab/>
        <w:t>19</w:t>
      </w:r>
    </w:p>
    <w:p>
      <w:pPr>
        <w:tabs>
          <w:tab w:pos="9864" w:val="right"/>
        </w:tabs>
        <w:spacing w:after="200"/>
      </w:pPr>
      <w:hyperlink w:anchor="publication" w:history="1">
        <w:r>
          <w:rPr>
            <w:color w:val="000000"/>
          </w:rPr>
          <w:t>Website publication note</w:t>
        </w:r>
      </w:hyperlink>
      <w:r>
        <w:tab/>
        <w:t>19</w:t>
      </w:r>
    </w:p>
    <w:p>
      <w:r>
        <w:br w:type="page"/>
      </w:r>
    </w:p>
    <w:p>
      <w:bookmarkStart w:id="2" w:name="difference"/>
      <w:pPr>
        <w:pStyle w:val="Heading1"/>
      </w:pPr>
      <w:r>
        <w:t>What makes Argent different</w:t>
      </w:r>
      <w:bookmarkEnd w:id="2"/>
    </w:p>
    <w:p>
      <w:pPr>
        <w:pStyle w:val="Heading2"/>
        <w:keepNext/>
        <w:keepLines/>
      </w:pPr>
      <w:r>
        <w:t>Connected processes</w:t>
      </w:r>
    </w:p>
    <w:p>
      <w:pPr>
        <w:keepNext/>
        <w:keepLines/>
      </w:pPr>
      <w:r>
        <w:rPr>
          <w:b/>
        </w:rPr>
        <w:t>Connected processes—not just connected screens.</w:t>
      </w:r>
    </w:p>
    <w:p>
      <w:pPr>
        <w:keepLines/>
      </w:pPr>
      <w:r>
        <w:rPr>
          <w:b w:val="0"/>
        </w:rPr>
        <w:t>Argent modules share people, sites, teams, positions and permissions. Information recorded in one area can support decisions in another, reducing duplicate administration and making the supporting evidence easier to find.</w:t>
      </w:r>
    </w:p>
    <w:p>
      <w:pPr>
        <w:pStyle w:val="Heading2"/>
        <w:keepNext/>
        <w:keepLines/>
      </w:pPr>
      <w:r>
        <w:t>Configuration that reflects your business</w:t>
      </w:r>
    </w:p>
    <w:p>
      <w:pPr>
        <w:keepNext/>
        <w:keepLines/>
      </w:pPr>
      <w:r>
        <w:rPr>
          <w:b/>
        </w:rPr>
        <w:t>Build processes around your operating requirements.</w:t>
      </w:r>
    </w:p>
    <w:p>
      <w:pPr>
        <w:keepLines/>
      </w:pPr>
      <w:r>
        <w:rPr>
          <w:b w:val="0"/>
        </w:rPr>
        <w:t>Define your own forms, assessment types, risk matrices, permit types, approval pathways, registers, classifications and terminology, rather than relying solely on a fixed set of templates.</w:t>
      </w:r>
    </w:p>
    <w:p>
      <w:pPr>
        <w:pStyle w:val="Heading2"/>
        <w:keepNext/>
        <w:keepLines/>
      </w:pPr>
      <w:r>
        <w:t>Accountability that follows the organisation</w:t>
      </w:r>
    </w:p>
    <w:p>
      <w:pPr>
        <w:keepNext/>
        <w:keepLines/>
      </w:pPr>
      <w:r>
        <w:rPr>
          <w:b/>
        </w:rPr>
        <w:t>Connect responsibilities to the people who need to act.</w:t>
      </w:r>
    </w:p>
    <w:p>
      <w:pPr>
        <w:keepLines/>
      </w:pPr>
      <w:r>
        <w:rPr>
          <w:b w:val="0"/>
        </w:rPr>
        <w:t>Assign responsibilities to individuals, supervisors, positions, roles and maintained approver lists. Connect work to the organisational structure so responsibilities can be managed as people and teams change.</w:t>
      </w:r>
    </w:p>
    <w:p>
      <w:pPr>
        <w:pStyle w:val="Heading2"/>
        <w:keepNext/>
        <w:keepLines/>
      </w:pPr>
      <w:r>
        <w:t>Evidence behind important decisions</w:t>
      </w:r>
    </w:p>
    <w:p>
      <w:pPr>
        <w:keepNext/>
        <w:keepLines/>
      </w:pPr>
      <w:r>
        <w:rPr>
          <w:b/>
        </w:rPr>
        <w:t>Keep the decision and the supporting information together.</w:t>
      </w:r>
    </w:p>
    <w:p>
      <w:pPr>
        <w:keepLines/>
      </w:pPr>
      <w:r>
        <w:rPr>
          <w:b w:val="0"/>
        </w:rPr>
        <w:t>Keep submitted information, supporting files, approval decisions and historical versions together. Make it easier to explain not only what was decided, but who decided it and what information they considered.</w:t>
      </w:r>
    </w:p>
    <w:p>
      <w:pPr>
        <w:pStyle w:val="Heading2"/>
        <w:keepNext/>
        <w:keepLines/>
      </w:pPr>
      <w:r>
        <w:t>A modular approach to implementation</w:t>
      </w:r>
    </w:p>
    <w:p>
      <w:pPr>
        <w:keepNext/>
        <w:keepLines/>
      </w:pPr>
      <w:r>
        <w:rPr>
          <w:b/>
        </w:rPr>
        <w:t>Start with what you need and expand over time.</w:t>
      </w:r>
    </w:p>
    <w:p>
      <w:pPr>
        <w:keepLines/>
      </w:pPr>
      <w:r>
        <w:rPr>
          <w:b w:val="0"/>
        </w:rPr>
        <w:t>Enable the modules your organisation needs and expand over time. Argent recognises mandatory dependencies while preserving records and configuration when modules are disabled.</w:t>
      </w:r>
    </w:p>
    <w:p>
      <w:bookmarkStart w:id="3" w:name="people"/>
      <w:pPr>
        <w:pStyle w:val="Heading1"/>
        <w:pageBreakBefore/>
      </w:pPr>
      <w:r>
        <w:t>People and companies</w:t>
      </w:r>
      <w:bookmarkEnd w:id="3"/>
    </w:p>
    <w:p>
      <w:pPr>
        <w:pStyle w:val="Heading2"/>
        <w:keepNext/>
        <w:keepLines/>
      </w:pPr>
      <w:r>
        <w:t>People and workforce records</w:t>
      </w:r>
    </w:p>
    <w:p>
      <w:pPr>
        <w:keepNext/>
        <w:keepLines/>
      </w:pPr>
      <w:r>
        <w:rPr>
          <w:b/>
        </w:rPr>
        <w:t>A shared workforce foundation for the whole operation.</w:t>
      </w:r>
    </w:p>
    <w:p>
      <w:pPr>
        <w:keepNext/>
        <w:keepLines/>
      </w:pPr>
      <w:r>
        <w:rPr>
          <w:b w:val="0"/>
        </w:rPr>
        <w:t>Maintain personnel information, employment identifiers, company relationships, sites and reporting lines in one place.</w:t>
      </w:r>
    </w:p>
    <w:p>
      <w:pPr>
        <w:pStyle w:val="ListBullet"/>
        <w:keepNext/>
        <w:keepLines/>
      </w:pPr>
      <w:r>
        <w:t>Worker profiles and configurable personnel fields</w:t>
      </w:r>
    </w:p>
    <w:p>
      <w:pPr>
        <w:pStyle w:val="ListBullet"/>
        <w:keepNext/>
        <w:keepLines/>
      </w:pPr>
      <w:r>
        <w:t>Supervisor relationships and organisational placement</w:t>
      </w:r>
    </w:p>
    <w:p>
      <w:pPr>
        <w:pStyle w:val="ListBullet"/>
        <w:keepNext/>
        <w:keepLines/>
      </w:pPr>
      <w:r>
        <w:t>Employee, contractor and visitor account categories</w:t>
      </w:r>
    </w:p>
    <w:p>
      <w:pPr>
        <w:pStyle w:val="ListBullet"/>
        <w:keepNext/>
        <w:keepLines/>
      </w:pPr>
      <w:r>
        <w:t>Bulk user imports</w:t>
      </w:r>
    </w:p>
    <w:p>
      <w:pPr>
        <w:pStyle w:val="ListBullet"/>
        <w:keepNext/>
        <w:keepLines/>
      </w:pPr>
      <w:r>
        <w:t>Personnel card design and supported identity information</w:t>
      </w:r>
    </w:p>
    <w:p>
      <w:pPr>
        <w:pStyle w:val="ListBullet"/>
        <w:keepNext/>
        <w:keepLines/>
      </w:pPr>
      <w:r>
        <w:t>Data-integrity tools to help identify inconsistent records</w:t>
      </w:r>
    </w:p>
    <w:p>
      <w:pPr>
        <w:pStyle w:val="ListBullet"/>
        <w:keepNext/>
        <w:keepLines/>
      </w:pPr>
      <w:r>
        <w:t>Active, inactive and historical workforce relationships</w:t>
      </w:r>
    </w:p>
    <w:p>
      <w:pPr>
        <w:keepLines/>
      </w:pPr>
      <w:r>
        <w:rPr>
          <w:b w:val="0"/>
        </w:rPr>
        <w:t>These records provide identity and organisational context throughout learning, health, attendance, approvals and site access.</w:t>
      </w:r>
    </w:p>
    <w:p>
      <w:pPr>
        <w:pStyle w:val="Heading2"/>
        <w:keepNext/>
        <w:keepLines/>
      </w:pPr>
      <w:r>
        <w:t>Teams positions and delegated responsibilities</w:t>
      </w:r>
    </w:p>
    <w:p>
      <w:pPr>
        <w:keepNext/>
        <w:keepLines/>
      </w:pPr>
      <w:r>
        <w:rPr>
          <w:b/>
        </w:rPr>
        <w:t>Make your organisational structure work inside your systems.</w:t>
      </w:r>
    </w:p>
    <w:p>
      <w:pPr>
        <w:keepNext/>
        <w:keepLines/>
      </w:pPr>
      <w:r>
        <w:rPr>
          <w:b w:val="0"/>
        </w:rPr>
        <w:t>Create teams, assign owners, maintain reporting hierarchies and appoint people to defined positions.</w:t>
      </w:r>
    </w:p>
    <w:p>
      <w:pPr>
        <w:keepNext/>
        <w:keepLines/>
      </w:pPr>
      <w:r>
        <w:rPr>
          <w:b w:val="0"/>
        </w:rPr>
        <w:t>Positions can carry training requirements and operational responsibilities, while access roles determine what a person may do in the application. Specialist appointments support trainers, assessors, quality reviewers and authorisation delegates.</w:t>
      </w:r>
    </w:p>
    <w:p>
      <w:pPr>
        <w:keepLines/>
      </w:pPr>
      <w:r>
        <w:rPr>
          <w:b w:val="0"/>
        </w:rPr>
        <w:t>This helps businesses maintain clear responsibility without treating a job title, a system permission and a competency as the same thing.</w:t>
      </w:r>
    </w:p>
    <w:p>
      <w:pPr>
        <w:pStyle w:val="Heading2"/>
        <w:keepNext/>
        <w:keepLines/>
      </w:pPr>
      <w:r>
        <w:t>Rosters and work patterns</w:t>
      </w:r>
    </w:p>
    <w:p>
      <w:pPr>
        <w:keepNext/>
        <w:keepLines/>
      </w:pPr>
      <w:r>
        <w:rPr>
          <w:b/>
        </w:rPr>
        <w:t>Plan work using structured, repeatable roster designs.</w:t>
      </w:r>
    </w:p>
    <w:p>
      <w:pPr>
        <w:keepNext/>
        <w:keepLines/>
      </w:pPr>
      <w:r>
        <w:rPr>
          <w:b w:val="0"/>
        </w:rPr>
        <w:t>Create roster cycles with shift times, overnight work and non-working days. Assign patterns to workers and maintain their effective dates and governed history.</w:t>
      </w:r>
    </w:p>
    <w:p>
      <w:pPr>
        <w:keepLines/>
      </w:pPr>
      <w:r>
        <w:rPr>
          <w:b w:val="0"/>
        </w:rPr>
        <w:t>Roster information also supports fatigue modelling and injury management capacity calendars.</w:t>
      </w:r>
    </w:p>
    <w:p>
      <w:pPr>
        <w:pStyle w:val="Heading2"/>
        <w:keepNext/>
        <w:keepLines/>
      </w:pPr>
      <w:r>
        <w:t>Advisory fatigue modelling</w:t>
      </w:r>
    </w:p>
    <w:p>
      <w:pPr>
        <w:keepNext/>
        <w:keepLines/>
      </w:pPr>
      <w:r>
        <w:rPr>
          <w:b/>
        </w:rPr>
        <w:t>Explore the fatigue implications of a roster before putting it into practice.</w:t>
      </w:r>
    </w:p>
    <w:p>
      <w:pPr>
        <w:keepNext/>
        <w:keepLines/>
      </w:pPr>
      <w:r>
        <w:rPr>
          <w:b w:val="0"/>
        </w:rPr>
        <w:t>Model planned work using the FIPS TPM or Unified model, supported by editable sleep and wake assumptions.</w:t>
      </w:r>
    </w:p>
    <w:p>
      <w:pPr>
        <w:pStyle w:val="ListBullet"/>
        <w:keepNext/>
        <w:keepLines/>
      </w:pPr>
      <w:r>
        <w:t>Modelling of one to four complete roster cycles</w:t>
      </w:r>
    </w:p>
    <w:p>
      <w:pPr>
        <w:pStyle w:val="ListBullet"/>
        <w:keepNext/>
        <w:keepLines/>
      </w:pPr>
      <w:r>
        <w:t>Editable sleep periods, copying and reordering</w:t>
      </w:r>
    </w:p>
    <w:p>
      <w:pPr>
        <w:pStyle w:val="ListBullet"/>
        <w:keepNext/>
        <w:keepLines/>
      </w:pPr>
      <w:r>
        <w:t>Graphical results showing days and hours</w:t>
      </w:r>
    </w:p>
    <w:p>
      <w:pPr>
        <w:pStyle w:val="ListBullet"/>
        <w:keepNext/>
        <w:keepLines/>
      </w:pPr>
      <w:r>
        <w:t>Quarter-hour modelling by default</w:t>
      </w:r>
    </w:p>
    <w:p>
      <w:pPr>
        <w:pStyle w:val="ListBullet"/>
        <w:keepNext/>
        <w:keepLines/>
      </w:pPr>
      <w:r>
        <w:t>Whole-number predicted PVT lapse displays for the Unified model</w:t>
      </w:r>
    </w:p>
    <w:p>
      <w:pPr>
        <w:pStyle w:val="ListBullet"/>
        <w:keepNext/>
        <w:keepLines/>
      </w:pPr>
      <w:r>
        <w:t>Visual distinctions between work, non-work and assumed sleep</w:t>
      </w:r>
    </w:p>
    <w:p>
      <w:pPr>
        <w:pStyle w:val="ListBullet"/>
        <w:keepNext/>
        <w:keepLines/>
      </w:pPr>
      <w:r>
        <w:t>Saved model runs and PDF exports</w:t>
      </w:r>
    </w:p>
    <w:p>
      <w:pPr>
        <w:keepLines/>
      </w:pPr>
      <w:r>
        <w:rPr>
          <w:b w:val="0"/>
        </w:rPr>
        <w:t>The modelling supports roster planning and informed discussion. It is advisory rather than a fitness-for-work determination.</w:t>
      </w:r>
    </w:p>
    <w:p>
      <w:pPr>
        <w:pStyle w:val="Heading2"/>
        <w:keepNext/>
        <w:keepLines/>
      </w:pPr>
      <w:r>
        <w:t>Live Attendance</w:t>
      </w:r>
    </w:p>
    <w:p>
      <w:pPr>
        <w:keepNext/>
        <w:keepLines/>
      </w:pPr>
      <w:r>
        <w:rPr>
          <w:b/>
        </w:rPr>
        <w:t>Know who is on site and keep working hours information accountable.</w:t>
      </w:r>
    </w:p>
    <w:p>
      <w:pPr>
        <w:keepNext/>
        <w:keepLines/>
      </w:pPr>
      <w:r>
        <w:rPr>
          <w:b w:val="0"/>
        </w:rPr>
        <w:t>Capture clock-in and clock-out activity, review attendance sessions and maintain corrections with recorded reasons.</w:t>
      </w:r>
    </w:p>
    <w:p>
      <w:pPr>
        <w:keepNext/>
        <w:keepLines/>
      </w:pPr>
      <w:r>
        <w:rPr>
          <w:b w:val="0"/>
        </w:rPr>
        <w:t>Configure working hours rules covering shift duration, rolling hours, minimum breaks, non-working days and consecutive shifts. Supported alerts and escalation help responsible people identify exceptions.</w:t>
      </w:r>
    </w:p>
    <w:p>
      <w:pPr>
        <w:keepLines/>
      </w:pPr>
      <w:r>
        <w:rPr>
          <w:b w:val="0"/>
        </w:rPr>
        <w:t>Astra device integration provides dedicated clocking alongside application workflows.</w:t>
      </w:r>
    </w:p>
    <w:p>
      <w:pPr>
        <w:pStyle w:val="Heading2"/>
        <w:keepNext/>
        <w:keepLines/>
      </w:pPr>
      <w:r>
        <w:t>Working Hours</w:t>
      </w:r>
    </w:p>
    <w:p>
      <w:pPr>
        <w:keepNext/>
        <w:keepLines/>
      </w:pPr>
      <w:r>
        <w:rPr>
          <w:b/>
        </w:rPr>
        <w:t>Give workforce and safety reporting a consistent hours foundation.</w:t>
      </w:r>
    </w:p>
    <w:p>
      <w:pPr>
        <w:keepNext/>
        <w:keepLines/>
      </w:pPr>
      <w:r>
        <w:rPr>
          <w:b w:val="0"/>
        </w:rPr>
        <w:t>Record monthly hours against crews, subdepartments and departments, with roll-ups and controlled corrections.</w:t>
      </w:r>
    </w:p>
    <w:p>
      <w:pPr>
        <w:keepLines/>
      </w:pPr>
      <w:r>
        <w:rPr>
          <w:b w:val="0"/>
        </w:rPr>
        <w:t>Use compatible hours and event information in configured safety statistics, helping managers understand exposure and performance across the same period and scope.</w:t>
      </w:r>
    </w:p>
    <w:p>
      <w:pPr>
        <w:pStyle w:val="Heading2"/>
        <w:keepNext/>
        <w:keepLines/>
      </w:pPr>
      <w:r>
        <w:t>Visitors</w:t>
      </w:r>
    </w:p>
    <w:p>
      <w:pPr>
        <w:keepNext/>
        <w:keepLines/>
      </w:pPr>
      <w:r>
        <w:rPr>
          <w:b/>
        </w:rPr>
        <w:t>Bring visitor registration, hosts and induction requirements together.</w:t>
      </w:r>
    </w:p>
    <w:p>
      <w:pPr>
        <w:keepNext/>
        <w:keepLines/>
      </w:pPr>
      <w:r>
        <w:rPr>
          <w:b w:val="0"/>
        </w:rPr>
        <w:t>Manage visitor details, hosts, visit periods and required learning. Support registration and host notifications without treating a visitor account as an employee.</w:t>
      </w:r>
    </w:p>
    <w:p>
      <w:pPr>
        <w:keepLines/>
      </w:pPr>
      <w:r>
        <w:rPr>
          <w:b w:val="0"/>
        </w:rPr>
        <w:t>A dedicated tablet visitor mode is available through the supported mobile deployment.</w:t>
      </w:r>
    </w:p>
    <w:p>
      <w:pPr>
        <w:pStyle w:val="Heading2"/>
        <w:keepNext/>
        <w:keepLines/>
      </w:pPr>
      <w:r>
        <w:t>Contractor Companies and Company Hub</w:t>
      </w:r>
    </w:p>
    <w:p>
      <w:pPr>
        <w:keepNext/>
        <w:keepLines/>
      </w:pPr>
      <w:r>
        <w:rPr>
          <w:b/>
        </w:rPr>
        <w:t>Manage contractor relationships from company to individual worker.</w:t>
      </w:r>
    </w:p>
    <w:p>
      <w:pPr>
        <w:keepNext/>
        <w:keepLines/>
      </w:pPr>
      <w:r>
        <w:rPr>
          <w:b w:val="0"/>
        </w:rPr>
        <w:t>Maintain companies, categories, contacts, representatives and workforce associations.</w:t>
      </w:r>
    </w:p>
    <w:p>
      <w:pPr>
        <w:keepNext/>
        <w:keepLines/>
      </w:pPr>
      <w:r>
        <w:rPr>
          <w:b w:val="0"/>
        </w:rPr>
        <w:t>The Company Hub gives authorised representatives a scoped workspace to manage permitted company information, workers and qualification activity. Worker associations can end without deleting the account or learning history.</w:t>
      </w:r>
    </w:p>
    <w:p>
      <w:pPr>
        <w:keepLines/>
      </w:pPr>
      <w:r>
        <w:rPr>
          <w:b w:val="0"/>
        </w:rPr>
        <w:t>Supported Australian Business Register lookup assists company entry where configured.</w:t>
      </w:r>
    </w:p>
    <w:p>
      <w:pPr>
        <w:pStyle w:val="Heading2"/>
        <w:keepNext/>
        <w:keepLines/>
      </w:pPr>
      <w:r>
        <w:t>Company Prequalification</w:t>
      </w:r>
    </w:p>
    <w:p>
      <w:pPr>
        <w:keepNext/>
        <w:keepLines/>
      </w:pPr>
      <w:r>
        <w:rPr>
          <w:b/>
        </w:rPr>
        <w:t>Turn contractor due diligence into a repeatable evidence-based process.</w:t>
      </w:r>
    </w:p>
    <w:p>
      <w:pPr>
        <w:keepNext/>
        <w:keepLines/>
      </w:pPr>
      <w:r>
        <w:rPr>
          <w:b w:val="0"/>
        </w:rPr>
        <w:t>Build category-based prequalification schemes with:</w:t>
      </w:r>
    </w:p>
    <w:p>
      <w:pPr>
        <w:pStyle w:val="ListBullet"/>
        <w:keepNext/>
        <w:keepLines/>
      </w:pPr>
      <w:r>
        <w:t>Configurable questionnaires</w:t>
      </w:r>
    </w:p>
    <w:p>
      <w:pPr>
        <w:pStyle w:val="ListBullet"/>
        <w:keepNext/>
        <w:keepLines/>
      </w:pPr>
      <w:r>
        <w:t>Required answers and supporting documents</w:t>
      </w:r>
    </w:p>
    <w:p>
      <w:pPr>
        <w:pStyle w:val="ListBullet"/>
        <w:keepNext/>
        <w:keepLines/>
      </w:pPr>
      <w:r>
        <w:t>Critical-answer controls</w:t>
      </w:r>
    </w:p>
    <w:p>
      <w:pPr>
        <w:pStyle w:val="ListBullet"/>
        <w:keepNext/>
        <w:keepLines/>
      </w:pPr>
      <w:r>
        <w:t>Independent review and decision reasons</w:t>
      </w:r>
    </w:p>
    <w:p>
      <w:pPr>
        <w:pStyle w:val="ListBullet"/>
        <w:keepNext/>
        <w:keepLines/>
      </w:pPr>
      <w:r>
        <w:t>Approved, conditionally approved, rejected, suspended and expired states</w:t>
      </w:r>
    </w:p>
    <w:p>
      <w:pPr>
        <w:pStyle w:val="ListBullet"/>
        <w:keepNext/>
        <w:keepLines/>
      </w:pPr>
      <w:r>
        <w:t>Validity periods and renewal workflows</w:t>
      </w:r>
    </w:p>
    <w:p>
      <w:pPr>
        <w:pStyle w:val="ListBullet"/>
        <w:keepNext/>
        <w:keepLines/>
      </w:pPr>
      <w:r>
        <w:t>Designated insurance evidence for site access checks</w:t>
      </w:r>
    </w:p>
    <w:p>
      <w:pPr>
        <w:keepLines/>
      </w:pPr>
      <w:r>
        <w:rPr>
          <w:b w:val="0"/>
        </w:rPr>
        <w:t>Qualifications stay connected to the evidence and questionnaire version reviewed.</w:t>
      </w:r>
    </w:p>
    <w:p>
      <w:pPr>
        <w:pStyle w:val="Heading2"/>
        <w:keepNext/>
        <w:keepLines/>
      </w:pPr>
      <w:r>
        <w:t>Site Access</w:t>
      </w:r>
    </w:p>
    <w:p>
      <w:pPr>
        <w:keepNext/>
        <w:keepLines/>
      </w:pPr>
      <w:r>
        <w:rPr>
          <w:b/>
        </w:rPr>
        <w:t>Connect access decisions to current workforce and company readiness.</w:t>
      </w:r>
    </w:p>
    <w:p>
      <w:pPr>
        <w:keepNext/>
        <w:keepLines/>
      </w:pPr>
      <w:r>
        <w:rPr>
          <w:b w:val="0"/>
        </w:rPr>
        <w:t>Access profiles combine relevant learning, company prequalification and insurance requirements.</w:t>
      </w:r>
    </w:p>
    <w:p>
      <w:pPr>
        <w:keepNext/>
        <w:keepLines/>
      </w:pPr>
      <w:r>
        <w:rPr>
          <w:b w:val="0"/>
        </w:rPr>
        <w:t>Identify missing or expired prerequisites, support scoped review and approval, and recheck existing approvals against changed eligibility.</w:t>
      </w:r>
    </w:p>
    <w:p>
      <w:pPr>
        <w:keepLines/>
      </w:pPr>
      <w:r>
        <w:rPr>
          <w:b w:val="0"/>
        </w:rPr>
        <w:t>Connect company assurance, individual competency and the requested access period.</w:t>
      </w:r>
    </w:p>
    <w:p>
      <w:bookmarkStart w:id="4" w:name="learning"/>
      <w:pPr>
        <w:pStyle w:val="Heading1"/>
      </w:pPr>
      <w:r>
        <w:t>Learning</w:t>
      </w:r>
      <w:bookmarkEnd w:id="4"/>
    </w:p>
    <w:p>
      <w:pPr>
        <w:pStyle w:val="Heading2"/>
        <w:keepNext/>
        <w:keepLines/>
      </w:pPr>
      <w:r>
        <w:t>Learning content and course delivery</w:t>
      </w:r>
    </w:p>
    <w:p>
      <w:pPr>
        <w:keepNext/>
        <w:keepLines/>
      </w:pPr>
      <w:r>
        <w:rPr>
          <w:b/>
        </w:rPr>
        <w:t>Build learning around the work people need to perform.</w:t>
      </w:r>
    </w:p>
    <w:p>
      <w:pPr>
        <w:keepNext/>
        <w:keepLines/>
      </w:pPr>
      <w:r>
        <w:rPr>
          <w:b w:val="0"/>
        </w:rPr>
        <w:t>Support a range of learning activities:</w:t>
      </w:r>
    </w:p>
    <w:p>
      <w:pPr>
        <w:pStyle w:val="ListBullet"/>
        <w:keepNext/>
        <w:keepLines/>
      </w:pPr>
      <w:r>
        <w:t>SCORM 1.2 and SCORM 2004 content</w:t>
      </w:r>
    </w:p>
    <w:p>
      <w:pPr>
        <w:pStyle w:val="ListBullet"/>
        <w:keepNext/>
        <w:keepLines/>
      </w:pPr>
      <w:r>
        <w:t>Built-in quizzes</w:t>
      </w:r>
    </w:p>
    <w:p>
      <w:pPr>
        <w:pStyle w:val="ListBullet"/>
        <w:keepNext/>
        <w:keepLines/>
      </w:pPr>
      <w:r>
        <w:t>Document acknowledgements</w:t>
      </w:r>
    </w:p>
    <w:p>
      <w:pPr>
        <w:pStyle w:val="ListBullet"/>
        <w:keepNext/>
        <w:keepLines/>
      </w:pPr>
      <w:r>
        <w:t>Practical assessments</w:t>
      </w:r>
    </w:p>
    <w:p>
      <w:pPr>
        <w:pStyle w:val="ListBullet"/>
        <w:keepNext/>
        <w:keepLines/>
      </w:pPr>
      <w:r>
        <w:t>Certificate and evidence submissions</w:t>
      </w:r>
    </w:p>
    <w:p>
      <w:pPr>
        <w:pStyle w:val="ListBullet"/>
        <w:keepNext/>
        <w:keepLines/>
      </w:pPr>
      <w:r>
        <w:t>Rich-text instructions and supported images</w:t>
      </w:r>
    </w:p>
    <w:p>
      <w:pPr>
        <w:keepLines/>
      </w:pPr>
      <w:r>
        <w:rPr>
          <w:b w:val="0"/>
        </w:rPr>
        <w:t>Combine activities into requirements with completion rules, prerequisites and sign-off.</w:t>
      </w:r>
    </w:p>
    <w:p>
      <w:pPr>
        <w:pStyle w:val="Heading2"/>
        <w:keepNext/>
        <w:keepLines/>
      </w:pPr>
      <w:r>
        <w:t>Training Needs Analysis and Training Matrix</w:t>
      </w:r>
    </w:p>
    <w:p>
      <w:pPr>
        <w:keepNext/>
        <w:keepLines/>
      </w:pPr>
      <w:r>
        <w:rPr>
          <w:b/>
        </w:rPr>
        <w:t>Make required capability visible across the workforce.</w:t>
      </w:r>
    </w:p>
    <w:p>
      <w:pPr>
        <w:keepNext/>
        <w:keepLines/>
      </w:pPr>
      <w:r>
        <w:rPr>
          <w:b w:val="0"/>
        </w:rPr>
        <w:t>Map requirements to positions and supported team, direct-assignment and automated-rule pathways.</w:t>
      </w:r>
    </w:p>
    <w:p>
      <w:pPr>
        <w:keepLines/>
      </w:pPr>
      <w:r>
        <w:rPr>
          <w:b w:val="0"/>
        </w:rPr>
        <w:t>The Training Matrix shows requirements, achievement, currency and expiry, helping supervisors identify gaps and plan development.</w:t>
      </w:r>
    </w:p>
    <w:p>
      <w:pPr>
        <w:pStyle w:val="Heading2"/>
        <w:keepNext/>
        <w:keepLines/>
      </w:pPr>
      <w:r>
        <w:t>Assessments evidence and authorisation</w:t>
      </w:r>
    </w:p>
    <w:p>
      <w:pPr>
        <w:keepNext/>
        <w:keepLines/>
      </w:pPr>
      <w:r>
        <w:rPr>
          <w:b/>
        </w:rPr>
        <w:t>Distinguish attendance, uploaded evidence and verified competence.</w:t>
      </w:r>
    </w:p>
    <w:p>
      <w:pPr>
        <w:keepNext/>
        <w:keepLines/>
      </w:pPr>
      <w:r>
        <w:rPr>
          <w:b w:val="0"/>
        </w:rPr>
        <w:t>Manage practical observations, certificate review and configured assessment workflows.</w:t>
      </w:r>
    </w:p>
    <w:p>
      <w:pPr>
        <w:pStyle w:val="ListBullet"/>
        <w:keepNext/>
        <w:keepLines/>
      </w:pPr>
      <w:r>
        <w:t>Assessor-led practical assessment</w:t>
      </w:r>
    </w:p>
    <w:p>
      <w:pPr>
        <w:pStyle w:val="ListBullet"/>
        <w:keepNext/>
        <w:keepLines/>
      </w:pPr>
      <w:r>
        <w:t>Individual and bulk evidence upload</w:t>
      </w:r>
    </w:p>
    <w:p>
      <w:pPr>
        <w:pStyle w:val="ListBullet"/>
        <w:keepNext/>
        <w:keepLines/>
      </w:pPr>
      <w:r>
        <w:t>Achievement and expiry dates</w:t>
      </w:r>
    </w:p>
    <w:p>
      <w:pPr>
        <w:pStyle w:val="ListBullet"/>
        <w:keepNext/>
        <w:keepLines/>
      </w:pPr>
      <w:r>
        <w:t>Certificate, licence and issuer details</w:t>
      </w:r>
    </w:p>
    <w:p>
      <w:pPr>
        <w:pStyle w:val="ListBullet"/>
        <w:keepNext/>
        <w:keepLines/>
      </w:pPr>
      <w:r>
        <w:t>Evidence verification</w:t>
      </w:r>
    </w:p>
    <w:p>
      <w:pPr>
        <w:pStyle w:val="ListBullet"/>
        <w:keepNext/>
        <w:keepLines/>
      </w:pPr>
      <w:r>
        <w:t>Quality assurance and final authorisation where configured</w:t>
      </w:r>
    </w:p>
    <w:p>
      <w:pPr>
        <w:pStyle w:val="ListBullet"/>
        <w:keepNext/>
        <w:keepLines/>
      </w:pPr>
      <w:r>
        <w:t>Returned evidence, corrections and decision history</w:t>
      </w:r>
    </w:p>
    <w:p>
      <w:pPr>
        <w:keepLines/>
      </w:pPr>
      <w:r>
        <w:rPr>
          <w:b w:val="0"/>
        </w:rPr>
        <w:t>Learners cannot bypass these processes through a generic self-completion action.</w:t>
      </w:r>
    </w:p>
    <w:p>
      <w:pPr>
        <w:pStyle w:val="Heading2"/>
        <w:keepNext/>
        <w:keepLines/>
      </w:pPr>
      <w:r>
        <w:t>Units of Competency and reusable assessment material</w:t>
      </w:r>
    </w:p>
    <w:p>
      <w:pPr>
        <w:keepNext/>
        <w:keepLines/>
      </w:pPr>
      <w:r>
        <w:rPr>
          <w:b/>
        </w:rPr>
        <w:t>Reduce repeated authoring while keeping assessment design consistent.</w:t>
      </w:r>
    </w:p>
    <w:p>
      <w:pPr>
        <w:keepNext/>
        <w:keepLines/>
      </w:pPr>
      <w:r>
        <w:rPr>
          <w:b w:val="0"/>
        </w:rPr>
        <w:t>Maintain reusable Units of Competency templates and deploy selected theory, practical or recognition-of-prior-learning components into requirements.</w:t>
      </w:r>
    </w:p>
    <w:p>
      <w:pPr>
        <w:keepLines/>
      </w:pPr>
      <w:r>
        <w:rPr>
          <w:b w:val="0"/>
        </w:rPr>
        <w:t>Reuse material while preserving the distinction between creating an assessment pathway and awarding competency.</w:t>
      </w:r>
    </w:p>
    <w:p>
      <w:pPr>
        <w:pStyle w:val="Heading2"/>
        <w:keepNext/>
        <w:keepLines/>
      </w:pPr>
      <w:r>
        <w:t>Personal learning records</w:t>
      </w:r>
    </w:p>
    <w:p>
      <w:pPr>
        <w:keepNext/>
        <w:keepLines/>
      </w:pPr>
      <w:r>
        <w:rPr>
          <w:b/>
        </w:rPr>
        <w:t>Give workers a clear view of their own development.</w:t>
      </w:r>
    </w:p>
    <w:p>
      <w:pPr>
        <w:keepNext/>
        <w:keepLines/>
      </w:pPr>
      <w:r>
        <w:rPr>
          <w:b w:val="0"/>
        </w:rPr>
        <w:t>My Learning presents assignments, activities, evidence and progress. Transcripts and supported sharing help workers access and communicate their records.</w:t>
      </w:r>
    </w:p>
    <w:p>
      <w:pPr>
        <w:keepLines/>
      </w:pPr>
      <w:r>
        <w:rPr>
          <w:b w:val="0"/>
        </w:rPr>
        <w:t>Connected value: learning requirements can feed site access, asset operation, permit eligibility, specialist appointments and critical-control responsibilities.</w:t>
      </w:r>
    </w:p>
    <w:p>
      <w:bookmarkStart w:id="5" w:name="health"/>
      <w:pPr>
        <w:pStyle w:val="Heading1"/>
      </w:pPr>
      <w:r>
        <w:t>Health</w:t>
      </w:r>
      <w:bookmarkEnd w:id="5"/>
    </w:p>
    <w:p>
      <w:pPr>
        <w:pStyle w:val="Heading2"/>
        <w:keepNext/>
        <w:keepLines/>
      </w:pPr>
      <w:r>
        <w:t>Health assessments and declarations</w:t>
      </w:r>
    </w:p>
    <w:p>
      <w:pPr>
        <w:keepNext/>
        <w:keepLines/>
      </w:pPr>
      <w:r>
        <w:rPr>
          <w:b/>
        </w:rPr>
        <w:t>Coordinate workforce health requirements without losing control of sensitive information.</w:t>
      </w:r>
    </w:p>
    <w:p>
      <w:pPr>
        <w:keepNext/>
        <w:keepLines/>
      </w:pPr>
      <w:r>
        <w:rPr>
          <w:b w:val="0"/>
        </w:rPr>
        <w:t>Configure assessment types, applicability, validity, online forms and approval pathways.</w:t>
      </w:r>
    </w:p>
    <w:p>
      <w:pPr>
        <w:keepNext/>
        <w:keepLines/>
      </w:pPr>
      <w:r>
        <w:rPr>
          <w:b w:val="0"/>
        </w:rPr>
        <w:t>Workers can self-enter authorised forms. Reviewers manage assessment decisions, renewals, expiry, waivers and work queues.</w:t>
      </w:r>
    </w:p>
    <w:p>
      <w:pPr>
        <w:keepLines/>
      </w:pPr>
      <w:r>
        <w:rPr>
          <w:b w:val="0"/>
        </w:rPr>
        <w:t>Employer-facing status and confidential clinical information have distinct access boundaries.</w:t>
      </w:r>
    </w:p>
    <w:p>
      <w:pPr>
        <w:pStyle w:val="Heading2"/>
        <w:keepNext/>
        <w:keepLines/>
      </w:pPr>
      <w:r>
        <w:t>Medication declarations</w:t>
      </w:r>
    </w:p>
    <w:p>
      <w:pPr>
        <w:keepNext/>
        <w:keepLines/>
      </w:pPr>
      <w:r>
        <w:rPr>
          <w:b/>
        </w:rPr>
        <w:t>Make medication declarations structured, reviewable and easier to complete.</w:t>
      </w:r>
    </w:p>
    <w:p>
      <w:pPr>
        <w:pStyle w:val="ListBullet"/>
        <w:keepNext/>
        <w:keepLines/>
      </w:pPr>
      <w:r>
        <w:t>Australian Medicines Terminology lookup</w:t>
      </w:r>
    </w:p>
    <w:p>
      <w:pPr>
        <w:pStyle w:val="ListBullet"/>
        <w:keepNext/>
        <w:keepLines/>
      </w:pPr>
      <w:r>
        <w:t>Medication and dose selection</w:t>
      </w:r>
    </w:p>
    <w:p>
      <w:pPr>
        <w:pStyle w:val="ListBullet"/>
        <w:keepNext/>
        <w:keepLines/>
      </w:pPr>
      <w:r>
        <w:t>Manual entry when a medication cannot be found</w:t>
      </w:r>
    </w:p>
    <w:p>
      <w:pPr>
        <w:pStyle w:val="ListBullet"/>
        <w:keepNext/>
        <w:keepLines/>
      </w:pPr>
      <w:r>
        <w:t>Multiple medications within one declaration</w:t>
      </w:r>
    </w:p>
    <w:p>
      <w:pPr>
        <w:pStyle w:val="ListBullet"/>
        <w:keepNext/>
        <w:keepLines/>
      </w:pPr>
      <w:r>
        <w:t>Start and end dates, including ongoing use</w:t>
      </w:r>
    </w:p>
    <w:p>
      <w:pPr>
        <w:pStyle w:val="ListBullet"/>
        <w:keepNext/>
        <w:keepLines/>
      </w:pPr>
      <w:r>
        <w:t>A no-medications declaration option</w:t>
      </w:r>
    </w:p>
    <w:p>
      <w:pPr>
        <w:pStyle w:val="ListBullet"/>
        <w:keepNext/>
        <w:keepLines/>
      </w:pPr>
      <w:r>
        <w:t>Schedule-based evidence requirements and configurable helper text</w:t>
      </w:r>
    </w:p>
    <w:p>
      <w:pPr>
        <w:pStyle w:val="ListBullet"/>
        <w:keepNext/>
        <w:keepLines/>
      </w:pPr>
      <w:r>
        <w:t>Configured potential testing-impact and prohibited-substance notices</w:t>
      </w:r>
    </w:p>
    <w:p>
      <w:pPr>
        <w:pStyle w:val="ListBullet"/>
        <w:keepNext/>
        <w:keepLines/>
      </w:pPr>
      <w:r>
        <w:t>Default warnings and item-specific overrides</w:t>
      </w:r>
    </w:p>
    <w:p>
      <w:pPr>
        <w:pStyle w:val="ListBullet"/>
        <w:keepNext/>
        <w:keepLines/>
      </w:pPr>
      <w:r>
        <w:t>Supervisor or other configured approval pathways</w:t>
      </w:r>
    </w:p>
    <w:p>
      <w:pPr>
        <w:pStyle w:val="ListBullet"/>
        <w:keepNext/>
        <w:keepLines/>
      </w:pPr>
      <w:r>
        <w:t>Version history and protected evidence</w:t>
      </w:r>
    </w:p>
    <w:p>
      <w:pPr>
        <w:keepLines/>
      </w:pPr>
      <w:r>
        <w:rPr>
          <w:b w:val="0"/>
        </w:rPr>
        <w:t>Shared medication policy with Drug and Alcohol Testing supports consistent guidance across the two workflows.</w:t>
      </w:r>
    </w:p>
    <w:p>
      <w:pPr>
        <w:pStyle w:val="Heading2"/>
        <w:keepNext/>
        <w:keepLines/>
      </w:pPr>
      <w:r>
        <w:t>Injury Management</w:t>
      </w:r>
    </w:p>
    <w:p>
      <w:pPr>
        <w:keepNext/>
        <w:keepLines/>
      </w:pPr>
      <w:r>
        <w:rPr>
          <w:b/>
        </w:rPr>
        <w:t>Keep case coordination, capacity and return-to-work activity together.</w:t>
      </w:r>
    </w:p>
    <w:p>
      <w:pPr>
        <w:keepNext/>
        <w:keepLines/>
      </w:pPr>
      <w:r>
        <w:rPr>
          <w:b w:val="0"/>
        </w:rPr>
        <w:t>Manage claim details, evidence, reviews and closure.</w:t>
      </w:r>
    </w:p>
    <w:p>
      <w:pPr>
        <w:pStyle w:val="ListBullet"/>
        <w:keepNext/>
        <w:keepLines/>
      </w:pPr>
      <w:r>
        <w:t>Versioned capacity certificates</w:t>
      </w:r>
    </w:p>
    <w:p>
      <w:pPr>
        <w:pStyle w:val="ListBullet"/>
        <w:keepNext/>
        <w:keepLines/>
      </w:pPr>
      <w:r>
        <w:t>Restrictions and workplace adjustments</w:t>
      </w:r>
    </w:p>
    <w:p>
      <w:pPr>
        <w:pStyle w:val="ListBullet"/>
        <w:keepNext/>
        <w:keepLines/>
      </w:pPr>
      <w:r>
        <w:t>Maximum hours and days</w:t>
      </w:r>
    </w:p>
    <w:p>
      <w:pPr>
        <w:pStyle w:val="ListBullet"/>
        <w:keepNext/>
        <w:keepLines/>
      </w:pPr>
      <w:r>
        <w:t>Roster-linked lost-time and restricted-work calendars</w:t>
      </w:r>
    </w:p>
    <w:p>
      <w:pPr>
        <w:pStyle w:val="ListBullet"/>
        <w:keepNext/>
        <w:keepLines/>
      </w:pPr>
      <w:r>
        <w:t>Suitable duties planning</w:t>
      </w:r>
    </w:p>
    <w:p>
      <w:pPr>
        <w:pStyle w:val="ListBullet"/>
        <w:keepNext/>
        <w:keepLines/>
      </w:pPr>
      <w:r>
        <w:t>Correspondence and email templates</w:t>
      </w:r>
    </w:p>
    <w:p>
      <w:pPr>
        <w:pStyle w:val="ListBullet"/>
        <w:keepNext/>
        <w:keepLines/>
      </w:pPr>
      <w:r>
        <w:t>Historical evidence</w:t>
      </w:r>
    </w:p>
    <w:p>
      <w:pPr>
        <w:keepLines/>
      </w:pPr>
      <w:r>
        <w:rPr>
          <w:b w:val="0"/>
        </w:rPr>
        <w:t>Create a clearer case history and better visibility to support recovery and return to work.</w:t>
      </w:r>
    </w:p>
    <w:p>
      <w:pPr>
        <w:pStyle w:val="Heading2"/>
        <w:keepNext/>
        <w:keepLines/>
      </w:pPr>
      <w:r>
        <w:t>Drug and Alcohol Testing</w:t>
      </w:r>
    </w:p>
    <w:p>
      <w:pPr>
        <w:keepNext/>
        <w:keepLines/>
      </w:pPr>
      <w:r>
        <w:rPr>
          <w:b/>
        </w:rPr>
        <w:t>Configure testing around your methods and procedures.</w:t>
      </w:r>
    </w:p>
    <w:p>
      <w:pPr>
        <w:keepNext/>
        <w:keepLines/>
      </w:pPr>
      <w:r>
        <w:rPr>
          <w:b w:val="0"/>
        </w:rPr>
        <w:t>Define testing methods, detected classes, required fields and test types.</w:t>
      </w:r>
    </w:p>
    <w:p>
      <w:pPr>
        <w:pStyle w:val="ListBullet"/>
        <w:keepNext/>
        <w:keepLines/>
      </w:pPr>
      <w:r>
        <w:t>Initial and Secondary testing stages</w:t>
      </w:r>
    </w:p>
    <w:p>
      <w:pPr>
        <w:pStyle w:val="ListBullet"/>
        <w:keepNext/>
        <w:keepLines/>
      </w:pPr>
      <w:r>
        <w:t>Separate dates and times for each actual method run</w:t>
      </w:r>
    </w:p>
    <w:p>
      <w:pPr>
        <w:pStyle w:val="ListBullet"/>
        <w:keepNext/>
        <w:keepLines/>
      </w:pPr>
      <w:r>
        <w:t>Configurable outcomes, colours and follow-up instructions</w:t>
      </w:r>
    </w:p>
    <w:p>
      <w:pPr>
        <w:pStyle w:val="ListBullet"/>
        <w:keepNext/>
        <w:keepLines/>
      </w:pPr>
      <w:r>
        <w:t>Conditional Secondary testing pathways</w:t>
      </w:r>
    </w:p>
    <w:p>
      <w:pPr>
        <w:pStyle w:val="ListBullet"/>
        <w:keepNext/>
        <w:keepLines/>
      </w:pPr>
      <w:r>
        <w:t>Calibration, batch, expiry and other custom fields</w:t>
      </w:r>
    </w:p>
    <w:p>
      <w:pPr>
        <w:pStyle w:val="ListBullet"/>
        <w:keepNext/>
        <w:keepLines/>
      </w:pPr>
      <w:r>
        <w:t>Medication declarations and consistency decisions</w:t>
      </w:r>
    </w:p>
    <w:p>
      <w:pPr>
        <w:pStyle w:val="ListBullet"/>
        <w:keepNext/>
        <w:keepLines/>
      </w:pPr>
      <w:r>
        <w:t>Tester warnings and calculated retest deadlines</w:t>
      </w:r>
    </w:p>
    <w:p>
      <w:pPr>
        <w:pStyle w:val="ListBullet"/>
        <w:keepNext/>
        <w:keepLines/>
      </w:pPr>
      <w:r>
        <w:t>Test reasons and workforce-selection rules</w:t>
      </w:r>
    </w:p>
    <w:p>
      <w:pPr>
        <w:pStyle w:val="ListBullet"/>
        <w:keepNext/>
        <w:keepLines/>
      </w:pPr>
      <w:r>
        <w:t>Supporting evidence and history</w:t>
      </w:r>
    </w:p>
    <w:p>
      <w:pPr>
        <w:keepLines/>
      </w:pPr>
      <w:r>
        <w:rPr>
          <w:b w:val="0"/>
        </w:rPr>
        <w:t>Support varied testing processes without imposing one fixed method on every form.</w:t>
      </w:r>
    </w:p>
    <w:p>
      <w:bookmarkStart w:id="6" w:name="safety"/>
      <w:pPr>
        <w:pStyle w:val="Heading1"/>
      </w:pPr>
      <w:r>
        <w:t>Safety and risk</w:t>
      </w:r>
      <w:bookmarkEnd w:id="6"/>
    </w:p>
    <w:p>
      <w:pPr>
        <w:pStyle w:val="Heading2"/>
        <w:keepNext/>
        <w:keepLines/>
      </w:pPr>
      <w:r>
        <w:t>Events and incident reporting</w:t>
      </w:r>
    </w:p>
    <w:p>
      <w:pPr>
        <w:keepNext/>
        <w:keepLines/>
      </w:pPr>
      <w:r>
        <w:rPr>
          <w:b/>
        </w:rPr>
        <w:t>Turn an initial report into an accountable response.</w:t>
      </w:r>
    </w:p>
    <w:p>
      <w:pPr>
        <w:keepNext/>
        <w:keepLines/>
      </w:pPr>
      <w:r>
        <w:rPr>
          <w:b w:val="0"/>
        </w:rPr>
        <w:t>Capture events using configurable classifications, involvement details, evidence and approval pathways.</w:t>
      </w:r>
    </w:p>
    <w:p>
      <w:pPr>
        <w:keepNext/>
        <w:keepLines/>
      </w:pPr>
      <w:r>
        <w:rPr>
          <w:b w:val="0"/>
        </w:rPr>
        <w:t>Support triage, standard and restricted visibility, recorded notifiable-event decisions, investigations and actions.</w:t>
      </w:r>
    </w:p>
    <w:p>
      <w:pPr>
        <w:keepLines/>
      </w:pPr>
      <w:r>
        <w:rPr>
          <w:b w:val="0"/>
        </w:rPr>
        <w:t>Approved standard site records can be visible to appropriate workers, while drafts and restricted records remain protected.</w:t>
      </w:r>
    </w:p>
    <w:p>
      <w:pPr>
        <w:pStyle w:val="Heading2"/>
        <w:keepNext/>
        <w:keepLines/>
      </w:pPr>
      <w:r>
        <w:t>Investigations</w:t>
      </w:r>
    </w:p>
    <w:p>
      <w:pPr>
        <w:keepNext/>
        <w:keepLines/>
      </w:pPr>
      <w:r>
        <w:rPr>
          <w:b/>
        </w:rPr>
        <w:t>Connect findings to evidence and findings to action.</w:t>
      </w:r>
    </w:p>
    <w:p>
      <w:pPr>
        <w:keepNext/>
        <w:keepLines/>
      </w:pPr>
      <w:r>
        <w:rPr>
          <w:b w:val="0"/>
        </w:rPr>
        <w:t>Use 5 Whys and ICAM approaches, supported by timelines, evidence, contributing factors and recommendations.</w:t>
      </w:r>
    </w:p>
    <w:p>
      <w:pPr>
        <w:pStyle w:val="ListBullet"/>
        <w:keepNext/>
        <w:keepLines/>
      </w:pPr>
      <w:r>
        <w:t>Investigation teams and responsibilities</w:t>
      </w:r>
    </w:p>
    <w:p>
      <w:pPr>
        <w:pStyle w:val="ListBullet"/>
        <w:keepNext/>
        <w:keepLines/>
      </w:pPr>
      <w:r>
        <w:t>Structured investigation streams</w:t>
      </w:r>
    </w:p>
    <w:p>
      <w:pPr>
        <w:pStyle w:val="ListBullet"/>
        <w:keepNext/>
        <w:keepLines/>
      </w:pPr>
      <w:r>
        <w:t>Evidence-to-finding traceability</w:t>
      </w:r>
    </w:p>
    <w:p>
      <w:pPr>
        <w:pStyle w:val="ListBullet"/>
        <w:keepNext/>
        <w:keepLines/>
      </w:pPr>
      <w:r>
        <w:t>Readiness checks</w:t>
      </w:r>
    </w:p>
    <w:p>
      <w:pPr>
        <w:pStyle w:val="ListBullet"/>
        <w:keepNext/>
        <w:keepLines/>
      </w:pPr>
      <w:r>
        <w:t>Sequential review and approval</w:t>
      </w:r>
    </w:p>
    <w:p>
      <w:pPr>
        <w:pStyle w:val="ListBullet"/>
        <w:keepNext/>
        <w:keepLines/>
      </w:pPr>
      <w:r>
        <w:t>Corrective actions and evidence</w:t>
      </w:r>
    </w:p>
    <w:p>
      <w:pPr>
        <w:pStyle w:val="ListBullet"/>
        <w:keepNext/>
        <w:keepLines/>
      </w:pPr>
      <w:r>
        <w:t>Independent verification</w:t>
      </w:r>
    </w:p>
    <w:p>
      <w:pPr>
        <w:pStyle w:val="ListBullet"/>
        <w:keepLines/>
      </w:pPr>
      <w:r>
        <w:t>Controlled reports and versions</w:t>
      </w:r>
    </w:p>
    <w:p>
      <w:pPr>
        <w:pStyle w:val="Heading2"/>
        <w:keepNext/>
        <w:keepLines/>
      </w:pPr>
      <w:r>
        <w:t>Risk assessments</w:t>
      </w:r>
    </w:p>
    <w:p>
      <w:pPr>
        <w:keepNext/>
        <w:keepLines/>
      </w:pPr>
      <w:r>
        <w:rPr>
          <w:b/>
        </w:rPr>
        <w:t>Use the right method for the decision.</w:t>
      </w:r>
    </w:p>
    <w:p>
      <w:pPr>
        <w:keepNext/>
        <w:keepLines/>
      </w:pPr>
      <w:r>
        <w:rPr>
          <w:b w:val="0"/>
        </w:rPr>
        <w:t>Choose from several connected risk-assessment methods:</w:t>
      </w:r>
    </w:p>
    <w:p>
      <w:pPr>
        <w:pStyle w:val="ListBullet"/>
        <w:keepNext/>
        <w:keepLines/>
      </w:pPr>
      <w:r>
        <w:t>JSEA — Job Safety and Environmental Analysis</w:t>
      </w:r>
    </w:p>
    <w:p>
      <w:pPr>
        <w:pStyle w:val="ListBullet"/>
        <w:keepNext/>
        <w:keepLines/>
      </w:pPr>
      <w:r>
        <w:t>WRAC — Workplace Risk Assessment and Control</w:t>
      </w:r>
    </w:p>
    <w:p>
      <w:pPr>
        <w:pStyle w:val="ListBullet"/>
        <w:keepNext/>
        <w:keepLines/>
      </w:pPr>
      <w:r>
        <w:t>BBRA — Broad Brush Risk Assessment</w:t>
      </w:r>
    </w:p>
    <w:p>
      <w:pPr>
        <w:pStyle w:val="ListBullet"/>
        <w:keepNext/>
        <w:keepLines/>
      </w:pPr>
      <w:r>
        <w:t>Bow Tie Analysis</w:t>
      </w:r>
    </w:p>
    <w:p>
      <w:pPr>
        <w:pStyle w:val="ListBullet"/>
        <w:keepNext/>
        <w:keepLines/>
      </w:pPr>
      <w:r>
        <w:t>Event Tree Analysis</w:t>
      </w:r>
    </w:p>
    <w:p>
      <w:pPr>
        <w:keepLines/>
      </w:pPr>
      <w:r>
        <w:rPr>
          <w:b w:val="0"/>
        </w:rPr>
        <w:t>Configure risk matrices, categories, bands and approval pathways. Assessment versions retain the matrix and context used for the decision.</w:t>
      </w:r>
    </w:p>
    <w:p>
      <w:pPr>
        <w:pStyle w:val="Heading2"/>
        <w:keepNext/>
        <w:keepLines/>
      </w:pPr>
      <w:r>
        <w:t>Graphical Bow Tie Analysis</w:t>
      </w:r>
    </w:p>
    <w:p>
      <w:pPr>
        <w:keepNext/>
        <w:keepLines/>
      </w:pPr>
      <w:r>
        <w:rPr>
          <w:b/>
        </w:rPr>
        <w:t>Make risk pathways and barriers easier to understand.</w:t>
      </w:r>
    </w:p>
    <w:p>
      <w:pPr>
        <w:keepNext/>
        <w:keepLines/>
      </w:pPr>
      <w:r>
        <w:rPr>
          <w:b w:val="0"/>
        </w:rPr>
        <w:t>Connect hazards, top events, threats and consequences with preventive and mitigating controls.</w:t>
      </w:r>
    </w:p>
    <w:p>
      <w:pPr>
        <w:pStyle w:val="ListBullet"/>
        <w:keepNext/>
        <w:keepLines/>
      </w:pPr>
      <w:r>
        <w:t>Graphical editing and automatic layout</w:t>
      </w:r>
    </w:p>
    <w:p>
      <w:pPr>
        <w:pStyle w:val="ListBullet"/>
        <w:keepNext/>
        <w:keepLines/>
      </w:pPr>
      <w:r>
        <w:t>Reusable templates</w:t>
      </w:r>
    </w:p>
    <w:p>
      <w:pPr>
        <w:pStyle w:val="ListBullet"/>
        <w:keepNext/>
        <w:keepLines/>
      </w:pPr>
      <w:r>
        <w:t>Copying, linking and arranging controls</w:t>
      </w:r>
    </w:p>
    <w:p>
      <w:pPr>
        <w:pStyle w:val="ListBullet"/>
        <w:keepNext/>
        <w:keepLines/>
      </w:pPr>
      <w:r>
        <w:t>Erosion factors and supporting controls</w:t>
      </w:r>
    </w:p>
    <w:p>
      <w:pPr>
        <w:pStyle w:val="ListBullet"/>
        <w:keepNext/>
        <w:keepLines/>
      </w:pPr>
      <w:r>
        <w:t>Control ownership and criticality</w:t>
      </w:r>
    </w:p>
    <w:p>
      <w:pPr>
        <w:pStyle w:val="ListBullet"/>
        <w:keepNext/>
        <w:keepLines/>
      </w:pPr>
      <w:r>
        <w:t>Performance standards</w:t>
      </w:r>
    </w:p>
    <w:p>
      <w:pPr>
        <w:pStyle w:val="ListBullet"/>
        <w:keepNext/>
        <w:keepLines/>
      </w:pPr>
      <w:r>
        <w:t>Supported imports, exports and reports</w:t>
      </w:r>
    </w:p>
    <w:p>
      <w:pPr>
        <w:pStyle w:val="ListBullet"/>
        <w:keepLines/>
      </w:pPr>
      <w:r>
        <w:t>Governed transfer of approved controls into Critical Control Management</w:t>
      </w:r>
    </w:p>
    <w:p>
      <w:pPr>
        <w:pStyle w:val="Heading2"/>
        <w:keepNext/>
        <w:keepLines/>
      </w:pPr>
      <w:r>
        <w:t>Event Tree Analysis</w:t>
      </w:r>
    </w:p>
    <w:p>
      <w:pPr>
        <w:keepNext/>
        <w:keepLines/>
      </w:pPr>
      <w:r>
        <w:rPr>
          <w:b/>
        </w:rPr>
        <w:t>Explore how an initiating event can develop into different outcomes.</w:t>
      </w:r>
    </w:p>
    <w:p>
      <w:pPr>
        <w:keepNext/>
        <w:keepLines/>
      </w:pPr>
      <w:r>
        <w:rPr>
          <w:b w:val="0"/>
        </w:rPr>
        <w:t>Build graphical event sequences, conditional branches and outcomes.</w:t>
      </w:r>
    </w:p>
    <w:p>
      <w:pPr>
        <w:keepNext/>
        <w:keepLines/>
      </w:pPr>
      <w:r>
        <w:rPr>
          <w:b w:val="0"/>
        </w:rPr>
        <w:t>Use an annual initiating-event frequency or return period with conditional probabilities to calculate path frequencies and shared outcome frequencies.</w:t>
      </w:r>
    </w:p>
    <w:p>
      <w:pPr>
        <w:keepLines/>
      </w:pPr>
      <w:r>
        <w:rPr>
          <w:b w:val="0"/>
        </w:rPr>
        <w:t>Add likelihood analysis alongside the system’s matrix-based risk methods.</w:t>
      </w:r>
    </w:p>
    <w:p>
      <w:pPr>
        <w:pStyle w:val="Heading2"/>
        <w:keepNext/>
        <w:keepLines/>
      </w:pPr>
      <w:r>
        <w:t>Critical Control Management</w:t>
      </w:r>
    </w:p>
    <w:p>
      <w:pPr>
        <w:keepNext/>
        <w:keepLines/>
      </w:pPr>
      <w:r>
        <w:rPr>
          <w:b/>
        </w:rPr>
        <w:t>Carry major risk analysis into ongoing operational assurance.</w:t>
      </w:r>
    </w:p>
    <w:p>
      <w:pPr>
        <w:keepNext/>
        <w:keepLines/>
      </w:pPr>
      <w:r>
        <w:rPr>
          <w:b w:val="0"/>
        </w:rPr>
        <w:t>Manage Material Unwanted Events, critical controls, performance standards and verification programmes.</w:t>
      </w:r>
    </w:p>
    <w:p>
      <w:pPr>
        <w:pStyle w:val="ListBullet"/>
        <w:keepNext/>
        <w:keepLines/>
      </w:pPr>
      <w:r>
        <w:t>Material Unwanted Events linked to approved BBRA records</w:t>
      </w:r>
    </w:p>
    <w:p>
      <w:pPr>
        <w:pStyle w:val="ListBullet"/>
        <w:keepNext/>
        <w:keepLines/>
      </w:pPr>
      <w:r>
        <w:t>Controls linked to approved Bow Tie assessments</w:t>
      </w:r>
    </w:p>
    <w:p>
      <w:pPr>
        <w:pStyle w:val="ListBullet"/>
        <w:keepNext/>
        <w:keepLines/>
      </w:pPr>
      <w:r>
        <w:t>Accountable positions and learning requirements</w:t>
      </w:r>
    </w:p>
    <w:p>
      <w:pPr>
        <w:pStyle w:val="ListBullet"/>
        <w:keepNext/>
        <w:keepLines/>
      </w:pPr>
      <w:r>
        <w:t>Versioned performance standards</w:t>
      </w:r>
    </w:p>
    <w:p>
      <w:pPr>
        <w:pStyle w:val="ListBullet"/>
        <w:keepNext/>
        <w:keepLines/>
      </w:pPr>
      <w:r>
        <w:t>Scheduled and on-demand verification</w:t>
      </w:r>
    </w:p>
    <w:p>
      <w:pPr>
        <w:pStyle w:val="ListBullet"/>
        <w:keepNext/>
        <w:keepLines/>
      </w:pPr>
      <w:r>
        <w:t>Evidence and findings</w:t>
      </w:r>
    </w:p>
    <w:p>
      <w:pPr>
        <w:pStyle w:val="ListBullet"/>
        <w:keepNext/>
        <w:keepLines/>
      </w:pPr>
      <w:r>
        <w:t>Degraded, failed and unverified control deviations</w:t>
      </w:r>
    </w:p>
    <w:p>
      <w:pPr>
        <w:pStyle w:val="ListBullet"/>
        <w:keepNext/>
        <w:keepLines/>
      </w:pPr>
      <w:r>
        <w:t>Actions and escalation</w:t>
      </w:r>
    </w:p>
    <w:p>
      <w:pPr>
        <w:pStyle w:val="ListBullet"/>
        <w:keepNext/>
        <w:keepLines/>
      </w:pPr>
      <w:r>
        <w:t>Assurance reporting</w:t>
      </w:r>
    </w:p>
    <w:p>
      <w:pPr>
        <w:keepNext/>
        <w:keepLines/>
      </w:pPr>
      <w:r>
        <w:rPr>
          <w:b w:val="0"/>
        </w:rPr>
        <w:t>BBRA → Material Unwanted Events → Bow Tie → Critical Controls → Verification → Deviations and corrective action</w:t>
      </w:r>
    </w:p>
    <w:p>
      <w:pPr>
        <w:keepLines/>
      </w:pPr>
      <w:r>
        <w:rPr>
          <w:b w:val="0"/>
        </w:rPr>
        <w:t>Review and approval remain part of the handover between risk assessment and ongoing assurance.</w:t>
      </w:r>
    </w:p>
    <w:p>
      <w:pPr>
        <w:pStyle w:val="Heading2"/>
        <w:keepNext/>
        <w:keepLines/>
      </w:pPr>
      <w:r>
        <w:t>Management of Change</w:t>
      </w:r>
    </w:p>
    <w:p>
      <w:pPr>
        <w:keepNext/>
        <w:keepLines/>
      </w:pPr>
      <w:r>
        <w:rPr>
          <w:b/>
        </w:rPr>
        <w:t>Manage the full change, not just the request for permission.</w:t>
      </w:r>
    </w:p>
    <w:p>
      <w:pPr>
        <w:keepNext/>
        <w:keepLines/>
      </w:pPr>
      <w:r>
        <w:rPr>
          <w:b w:val="0"/>
        </w:rPr>
        <w:t>Record the proposal, rationale, affected areas, impacts and supporting assessments.</w:t>
      </w:r>
    </w:p>
    <w:p>
      <w:pPr>
        <w:keepNext/>
        <w:keepLines/>
      </w:pPr>
      <w:r>
        <w:rPr>
          <w:b w:val="0"/>
        </w:rPr>
        <w:t>Use conditional routing, approval, implementation actions, independent verification, effectiveness review and closure.</w:t>
      </w:r>
    </w:p>
    <w:p>
      <w:pPr>
        <w:keepLines/>
      </w:pPr>
      <w:r>
        <w:rPr>
          <w:b w:val="0"/>
        </w:rPr>
        <w:t>Historical approval rounds and versions preserve the original decision and the eventual outcome.</w:t>
      </w:r>
    </w:p>
    <w:p>
      <w:pPr>
        <w:pStyle w:val="Heading2"/>
        <w:keepNext/>
        <w:keepLines/>
      </w:pPr>
      <w:r>
        <w:t>Legal Compliance</w:t>
      </w:r>
    </w:p>
    <w:p>
      <w:pPr>
        <w:keepNext/>
        <w:keepLines/>
      </w:pPr>
      <w:r>
        <w:rPr>
          <w:b/>
        </w:rPr>
        <w:t>Connect obligations to accountable people and supporting evidence.</w:t>
      </w:r>
    </w:p>
    <w:p>
      <w:pPr>
        <w:keepNext/>
        <w:keepLines/>
      </w:pPr>
      <w:r>
        <w:rPr>
          <w:b w:val="0"/>
        </w:rPr>
        <w:t>Register sources, applicability, responsible roles, review dates and findings.</w:t>
      </w:r>
    </w:p>
    <w:p>
      <w:pPr>
        <w:keepLines/>
      </w:pPr>
      <w:r>
        <w:rPr>
          <w:b w:val="0"/>
        </w:rPr>
        <w:t>Link documents, assessments and actions. Track reviews and the corrective work required to address findings.</w:t>
      </w:r>
    </w:p>
    <w:p>
      <w:bookmarkStart w:id="7" w:name="operations"/>
      <w:pPr>
        <w:pStyle w:val="Heading1"/>
      </w:pPr>
      <w:r>
        <w:t>Operations</w:t>
      </w:r>
      <w:bookmarkEnd w:id="7"/>
    </w:p>
    <w:p>
      <w:pPr>
        <w:pStyle w:val="Heading2"/>
        <w:keepNext/>
        <w:keepLines/>
      </w:pPr>
      <w:r>
        <w:t>Assets and Equipment</w:t>
      </w:r>
    </w:p>
    <w:p>
      <w:pPr>
        <w:keepNext/>
        <w:keepLines/>
      </w:pPr>
      <w:r>
        <w:rPr>
          <w:b/>
        </w:rPr>
        <w:t>Give equipment a governed operational record.</w:t>
      </w:r>
    </w:p>
    <w:p>
      <w:pPr>
        <w:keepNext/>
        <w:keepLines/>
      </w:pPr>
      <w:r>
        <w:rPr>
          <w:b w:val="0"/>
        </w:rPr>
        <w:t>Maintain asset identity, placement, parent relationships, ownership, criticality and lifecycle.</w:t>
      </w:r>
    </w:p>
    <w:p>
      <w:pPr>
        <w:keepNext/>
        <w:keepLines/>
      </w:pPr>
      <w:r>
        <w:rPr>
          <w:b w:val="0"/>
        </w:rPr>
        <w:t>Track inspection and maintenance dates, availability history, QR labels and linked records.</w:t>
      </w:r>
    </w:p>
    <w:p>
      <w:pPr>
        <w:keepLines/>
      </w:pPr>
      <w:r>
        <w:rPr>
          <w:b w:val="0"/>
        </w:rPr>
        <w:t>Operator requirements can connect to learning and eligibility checks.</w:t>
      </w:r>
    </w:p>
    <w:p>
      <w:pPr>
        <w:pStyle w:val="Heading2"/>
        <w:keepNext/>
        <w:keepLines/>
      </w:pPr>
      <w:r>
        <w:t>Inspections observations and interactions</w:t>
      </w:r>
    </w:p>
    <w:p>
      <w:pPr>
        <w:keepNext/>
        <w:keepLines/>
      </w:pPr>
      <w:r>
        <w:rPr>
          <w:b/>
        </w:rPr>
        <w:t>Capture field information in a consistent, useful format.</w:t>
      </w:r>
    </w:p>
    <w:p>
      <w:pPr>
        <w:keepNext/>
        <w:keepLines/>
      </w:pPr>
      <w:r>
        <w:rPr>
          <w:b w:val="0"/>
        </w:rPr>
        <w:t>Build configurable forms for inspections, observations and safety interactions.</w:t>
      </w:r>
    </w:p>
    <w:p>
      <w:pPr>
        <w:keepLines/>
      </w:pPr>
      <w:r>
        <w:rPr>
          <w:b w:val="0"/>
        </w:rPr>
        <w:t>Record answers, photographs, attachments and findings against sites, people and assets. Link findings to defects and actions.</w:t>
      </w:r>
    </w:p>
    <w:p>
      <w:pPr>
        <w:pStyle w:val="Heading2"/>
        <w:keepNext/>
        <w:keepLines/>
      </w:pPr>
      <w:r>
        <w:t>Defects</w:t>
      </w:r>
    </w:p>
    <w:p>
      <w:pPr>
        <w:keepNext/>
        <w:keepLines/>
      </w:pPr>
      <w:r>
        <w:rPr>
          <w:b/>
        </w:rPr>
        <w:t>Keep reported problems visible through to resolution.</w:t>
      </w:r>
    </w:p>
    <w:p>
      <w:pPr>
        <w:keepNext/>
        <w:keepLines/>
      </w:pPr>
      <w:r>
        <w:rPr>
          <w:b w:val="0"/>
        </w:rPr>
        <w:t>Create defects directly or from inspections. Record the location, asset, evidence, assignments, priority and progress.</w:t>
      </w:r>
    </w:p>
    <w:p>
      <w:pPr>
        <w:keepLines/>
      </w:pPr>
      <w:r>
        <w:rPr>
          <w:b w:val="0"/>
        </w:rPr>
        <w:t>Preserve the original observation, subsequent updates and how the outcome was established.</w:t>
      </w:r>
    </w:p>
    <w:p>
      <w:pPr>
        <w:pStyle w:val="Heading2"/>
        <w:keepNext/>
        <w:keepLines/>
      </w:pPr>
      <w:r>
        <w:t>Permit to Work</w:t>
      </w:r>
    </w:p>
    <w:p>
      <w:pPr>
        <w:keepNext/>
        <w:keepLines/>
      </w:pPr>
      <w:r>
        <w:rPr>
          <w:b/>
        </w:rPr>
        <w:t>Connect work authorisation to the people and conditions required for the job.</w:t>
      </w:r>
    </w:p>
    <w:p>
      <w:pPr>
        <w:keepNext/>
        <w:keepLines/>
      </w:pPr>
      <w:r>
        <w:rPr>
          <w:b w:val="0"/>
        </w:rPr>
        <w:t>Configure permit types, forms, participants and sequential approval stages.</w:t>
      </w:r>
    </w:p>
    <w:p>
      <w:pPr>
        <w:pStyle w:val="ListBullet"/>
        <w:keepNext/>
        <w:keepLines/>
      </w:pPr>
      <w:r>
        <w:t>Issuer and holder duties</w:t>
      </w:r>
    </w:p>
    <w:p>
      <w:pPr>
        <w:pStyle w:val="ListBullet"/>
        <w:keepNext/>
        <w:keepLines/>
      </w:pPr>
      <w:r>
        <w:t>Competency and eligibility checks</w:t>
      </w:r>
    </w:p>
    <w:p>
      <w:pPr>
        <w:pStyle w:val="ListBullet"/>
        <w:keepNext/>
        <w:keepLines/>
      </w:pPr>
      <w:r>
        <w:t>Asset and work-area information</w:t>
      </w:r>
    </w:p>
    <w:p>
      <w:pPr>
        <w:pStyle w:val="ListBullet"/>
        <w:keepNext/>
        <w:keepLines/>
      </w:pPr>
      <w:r>
        <w:t>Supporting evidence</w:t>
      </w:r>
    </w:p>
    <w:p>
      <w:pPr>
        <w:pStyle w:val="ListBullet"/>
        <w:keepNext/>
        <w:keepLines/>
      </w:pPr>
      <w:r>
        <w:t>Issue, acceptance, suspension and revalidation</w:t>
      </w:r>
    </w:p>
    <w:p>
      <w:pPr>
        <w:pStyle w:val="ListBullet"/>
        <w:keepNext/>
        <w:keepLines/>
      </w:pPr>
      <w:r>
        <w:t>Extensions and closure</w:t>
      </w:r>
    </w:p>
    <w:p>
      <w:pPr>
        <w:pStyle w:val="ListBullet"/>
        <w:keepLines/>
      </w:pPr>
      <w:r>
        <w:t>History and audit information</w:t>
      </w:r>
    </w:p>
    <w:p>
      <w:pPr>
        <w:pStyle w:val="Heading2"/>
        <w:keepNext/>
        <w:keepLines/>
      </w:pPr>
      <w:r>
        <w:t>Simultaneous Operations</w:t>
      </w:r>
    </w:p>
    <w:p>
      <w:pPr>
        <w:keepNext/>
        <w:keepLines/>
      </w:pPr>
      <w:r>
        <w:rPr>
          <w:b/>
        </w:rPr>
        <w:t>Identify conflicts between overlapping work.</w:t>
      </w:r>
    </w:p>
    <w:p>
      <w:pPr>
        <w:keepNext/>
        <w:keepLines/>
      </w:pPr>
      <w:r>
        <w:rPr>
          <w:b w:val="0"/>
        </w:rPr>
        <w:t>Configure SIMOPS rules around permit-type combinations, overlapping work, time buffers and warning or blocking behaviour.</w:t>
      </w:r>
    </w:p>
    <w:p>
      <w:pPr>
        <w:keepLines/>
      </w:pPr>
      <w:r>
        <w:rPr>
          <w:b w:val="0"/>
        </w:rPr>
        <w:t>Support coordination where multiple jobs interact.</w:t>
      </w:r>
    </w:p>
    <w:p>
      <w:pPr>
        <w:pStyle w:val="Heading2"/>
        <w:keepNext/>
        <w:keepLines/>
      </w:pPr>
      <w:r>
        <w:t>Chemicals and Substances</w:t>
      </w:r>
    </w:p>
    <w:p>
      <w:pPr>
        <w:keepNext/>
        <w:keepLines/>
      </w:pPr>
      <w:r>
        <w:rPr>
          <w:b/>
        </w:rPr>
        <w:t>Make approved chemical information easier to find and new substances easier to govern.</w:t>
      </w:r>
    </w:p>
    <w:p>
      <w:pPr>
        <w:keepNext/>
        <w:keepLines/>
      </w:pPr>
      <w:r>
        <w:rPr>
          <w:b w:val="0"/>
        </w:rPr>
        <w:t>Search the register for safety data sheets, classifications, intended uses and storage information.</w:t>
      </w:r>
    </w:p>
    <w:p>
      <w:pPr>
        <w:pStyle w:val="ListBullet"/>
        <w:keepNext/>
        <w:keepLines/>
      </w:pPr>
      <w:r>
        <w:t>Combined new-product, SDS and use requests</w:t>
      </w:r>
    </w:p>
    <w:p>
      <w:pPr>
        <w:pStyle w:val="ListBullet"/>
        <w:keepNext/>
        <w:keepLines/>
      </w:pPr>
      <w:r>
        <w:t>Introduction of an approved substance to another site</w:t>
      </w:r>
    </w:p>
    <w:p>
      <w:pPr>
        <w:pStyle w:val="ListBullet"/>
        <w:keepNext/>
        <w:keepLines/>
      </w:pPr>
      <w:r>
        <w:t>Configurable approval pathways</w:t>
      </w:r>
    </w:p>
    <w:p>
      <w:pPr>
        <w:pStyle w:val="ListBullet"/>
        <w:keepNext/>
        <w:keepLines/>
      </w:pPr>
      <w:r>
        <w:t>Classification and activity requirements</w:t>
      </w:r>
    </w:p>
    <w:p>
      <w:pPr>
        <w:pStyle w:val="ListBullet"/>
        <w:keepNext/>
        <w:keepLines/>
      </w:pPr>
      <w:r>
        <w:t>Risk-assessment links where configured</w:t>
      </w:r>
    </w:p>
    <w:p>
      <w:pPr>
        <w:pStyle w:val="ListBullet"/>
        <w:keepNext/>
        <w:keepLines/>
      </w:pPr>
      <w:r>
        <w:t>Independent SDS and use review</w:t>
      </w:r>
    </w:p>
    <w:p>
      <w:pPr>
        <w:pStyle w:val="ListBullet"/>
        <w:keepNext/>
        <w:keepLines/>
      </w:pPr>
      <w:r>
        <w:t>Restricted, suspended and expired states</w:t>
      </w:r>
    </w:p>
    <w:p>
      <w:pPr>
        <w:pStyle w:val="ListBullet"/>
        <w:keepNext/>
        <w:keepLines/>
      </w:pPr>
      <w:r>
        <w:t>Reading and downloading published SDS files</w:t>
      </w:r>
    </w:p>
    <w:p>
      <w:pPr>
        <w:pStyle w:val="ListBullet"/>
        <w:keepNext/>
        <w:keepLines/>
      </w:pPr>
      <w:r>
        <w:t>Work queues and site reference bundles</w:t>
      </w:r>
    </w:p>
    <w:p>
      <w:pPr>
        <w:keepLines/>
      </w:pPr>
      <w:r>
        <w:rPr>
          <w:b w:val="0"/>
        </w:rPr>
        <w:t>The focus is approval and site-use assurance, rather than stock control.</w:t>
      </w:r>
    </w:p>
    <w:p>
      <w:pPr>
        <w:pStyle w:val="Heading2"/>
        <w:keepNext/>
        <w:keepLines/>
      </w:pPr>
      <w:r>
        <w:t>Weather</w:t>
      </w:r>
    </w:p>
    <w:p>
      <w:pPr>
        <w:keepNext/>
        <w:keepLines/>
      </w:pPr>
      <w:r>
        <w:rPr>
          <w:b/>
        </w:rPr>
        <w:t>Bring recorded weather activity into the operational picture.</w:t>
      </w:r>
    </w:p>
    <w:p>
      <w:pPr>
        <w:keepNext/>
        <w:keepLines/>
      </w:pPr>
      <w:r>
        <w:rPr>
          <w:b w:val="0"/>
        </w:rPr>
        <w:t>View lightning activity, estimated rainfall and configured forecast services.</w:t>
      </w:r>
    </w:p>
    <w:p>
      <w:pPr>
        <w:pStyle w:val="ListBullet"/>
        <w:keepNext/>
        <w:keepLines/>
      </w:pPr>
      <w:r>
        <w:t>Satellite and street maps</w:t>
      </w:r>
    </w:p>
    <w:p>
      <w:pPr>
        <w:pStyle w:val="ListBullet"/>
        <w:keepNext/>
        <w:keepLines/>
      </w:pPr>
      <w:r>
        <w:t>Separate site views or a combined map</w:t>
      </w:r>
    </w:p>
    <w:p>
      <w:pPr>
        <w:pStyle w:val="ListBullet"/>
        <w:keepNext/>
        <w:keepLines/>
      </w:pPr>
      <w:r>
        <w:t>Distance bands and hold periods</w:t>
      </w:r>
    </w:p>
    <w:p>
      <w:pPr>
        <w:pStyle w:val="ListBullet"/>
        <w:keepNext/>
        <w:keepLines/>
      </w:pPr>
      <w:r>
        <w:t>Closest-strike information and remaining holds</w:t>
      </w:r>
    </w:p>
    <w:p>
      <w:pPr>
        <w:pStyle w:val="ListBullet"/>
        <w:keepNext/>
        <w:keepLines/>
      </w:pPr>
      <w:r>
        <w:t>Configurable worker instructions</w:t>
      </w:r>
    </w:p>
    <w:p>
      <w:pPr>
        <w:pStyle w:val="ListBullet"/>
        <w:keepNext/>
        <w:keepLines/>
      </w:pPr>
      <w:r>
        <w:t>Fading strike markers and automatic expiry</w:t>
      </w:r>
    </w:p>
    <w:p>
      <w:pPr>
        <w:pStyle w:val="ListBullet"/>
        <w:keepNext/>
        <w:keepLines/>
      </w:pPr>
      <w:r>
        <w:t>A 60-minute activity chart</w:t>
      </w:r>
    </w:p>
    <w:p>
      <w:pPr>
        <w:pStyle w:val="ListBullet"/>
        <w:keepNext/>
        <w:keepLines/>
      </w:pPr>
      <w:r>
        <w:t>A five-minute moving average and recent trend direction</w:t>
      </w:r>
    </w:p>
    <w:p>
      <w:pPr>
        <w:pStyle w:val="ListBullet"/>
        <w:keepNext/>
        <w:keepLines/>
      </w:pPr>
      <w:r>
        <w:t>Background data collection</w:t>
      </w:r>
    </w:p>
    <w:p>
      <w:pPr>
        <w:pStyle w:val="ListBullet"/>
        <w:keepNext/>
        <w:keepLines/>
      </w:pPr>
      <w:r>
        <w:t>Public displays for site screens</w:t>
      </w:r>
    </w:p>
    <w:p>
      <w:pPr>
        <w:pStyle w:val="ListBullet"/>
        <w:keepNext/>
        <w:keepLines/>
      </w:pPr>
      <w:r>
        <w:t>Automatic map and rainfall refresh</w:t>
      </w:r>
    </w:p>
    <w:p>
      <w:pPr>
        <w:keepLines/>
      </w:pPr>
      <w:r>
        <w:rPr>
          <w:b w:val="0"/>
        </w:rPr>
        <w:t>Weather is an indicative reporting feature, not an emergency warning service or an all-clear determination.</w:t>
      </w:r>
    </w:p>
    <w:p>
      <w:bookmarkStart w:id="8" w:name="documents"/>
      <w:pPr>
        <w:pStyle w:val="Heading1"/>
      </w:pPr>
      <w:r>
        <w:t>Documents and forms</w:t>
      </w:r>
      <w:bookmarkEnd w:id="8"/>
    </w:p>
    <w:p>
      <w:pPr>
        <w:pStyle w:val="Heading2"/>
        <w:keepNext/>
        <w:keepLines/>
      </w:pPr>
      <w:r>
        <w:t>Controlled Documents</w:t>
      </w:r>
    </w:p>
    <w:p>
      <w:pPr>
        <w:keepNext/>
        <w:keepLines/>
      </w:pPr>
      <w:r>
        <w:rPr>
          <w:b/>
        </w:rPr>
        <w:t>Give people access to the current approved information.</w:t>
      </w:r>
    </w:p>
    <w:p>
      <w:pPr>
        <w:keepNext/>
        <w:keepLines/>
      </w:pPr>
      <w:r>
        <w:rPr>
          <w:b w:val="0"/>
        </w:rPr>
        <w:t>Maintain ownership, categories, applicability, audiences, review dates and approval pathways.</w:t>
      </w:r>
    </w:p>
    <w:p>
      <w:pPr>
        <w:pStyle w:val="ListBullet"/>
        <w:keepNext/>
        <w:keepLines/>
      </w:pPr>
      <w:r>
        <w:t>Original files</w:t>
      </w:r>
    </w:p>
    <w:p>
      <w:pPr>
        <w:pStyle w:val="ListBullet"/>
        <w:keepNext/>
        <w:keepLines/>
      </w:pPr>
      <w:r>
        <w:t>Draft and published versions</w:t>
      </w:r>
    </w:p>
    <w:p>
      <w:pPr>
        <w:pStyle w:val="ListBullet"/>
        <w:keepNext/>
        <w:keepLines/>
      </w:pPr>
      <w:r>
        <w:t>Sequential approval</w:t>
      </w:r>
    </w:p>
    <w:p>
      <w:pPr>
        <w:pStyle w:val="ListBullet"/>
        <w:keepNext/>
        <w:keepLines/>
      </w:pPr>
      <w:r>
        <w:t>Controlled replacement</w:t>
      </w:r>
    </w:p>
    <w:p>
      <w:pPr>
        <w:pStyle w:val="ListBullet"/>
        <w:keepNext/>
        <w:keepLines/>
      </w:pPr>
      <w:r>
        <w:t>Review reminders</w:t>
      </w:r>
    </w:p>
    <w:p>
      <w:pPr>
        <w:pStyle w:val="ListBullet"/>
        <w:keepNext/>
        <w:keepLines/>
      </w:pPr>
      <w:r>
        <w:t>Authorised reading and downloading</w:t>
      </w:r>
    </w:p>
    <w:p>
      <w:pPr>
        <w:pStyle w:val="ListBullet"/>
        <w:keepNext/>
        <w:keepLines/>
      </w:pPr>
      <w:r>
        <w:t>Archive and history</w:t>
      </w:r>
    </w:p>
    <w:p>
      <w:pPr>
        <w:keepLines/>
      </w:pPr>
      <w:r>
        <w:rPr>
          <w:b w:val="0"/>
        </w:rPr>
        <w:t>Publish to the intended audience without granting access to drafts.</w:t>
      </w:r>
    </w:p>
    <w:p>
      <w:pPr>
        <w:pStyle w:val="Heading2"/>
        <w:keepNext/>
        <w:keepLines/>
      </w:pPr>
      <w:r>
        <w:t>Custom Registers</w:t>
      </w:r>
    </w:p>
    <w:p>
      <w:pPr>
        <w:keepNext/>
        <w:keepLines/>
      </w:pPr>
      <w:r>
        <w:rPr>
          <w:b/>
        </w:rPr>
        <w:t>Replace stand-alone spreadsheets with structured, governed records.</w:t>
      </w:r>
    </w:p>
    <w:p>
      <w:pPr>
        <w:keepNext/>
        <w:keepLines/>
      </w:pPr>
      <w:r>
        <w:rPr>
          <w:b w:val="0"/>
        </w:rPr>
        <w:t>Define columns, choices, dates, numbers, attachments and calculated values.</w:t>
      </w:r>
    </w:p>
    <w:p>
      <w:pPr>
        <w:keepLines/>
      </w:pPr>
      <w:r>
        <w:rPr>
          <w:b w:val="0"/>
        </w:rPr>
        <w:t>Publish register designs, maintain entry revisions and produce packs. Search, filter, save views and export authorised information.</w:t>
      </w:r>
    </w:p>
    <w:p>
      <w:pPr>
        <w:pStyle w:val="Heading2"/>
        <w:keepNext/>
        <w:keepLines/>
      </w:pPr>
      <w:r>
        <w:t>Workflow</w:t>
      </w:r>
    </w:p>
    <w:p>
      <w:pPr>
        <w:keepNext/>
        <w:keepLines/>
      </w:pPr>
      <w:r>
        <w:rPr>
          <w:b/>
        </w:rPr>
        <w:t>Build the forms and approval processes unique to your business.</w:t>
      </w:r>
    </w:p>
    <w:p>
      <w:pPr>
        <w:keepNext/>
        <w:keepLines/>
      </w:pPr>
      <w:r>
        <w:rPr>
          <w:b w:val="0"/>
        </w:rPr>
        <w:t>Build forms with sections, instructions, text, numbers, dates, choices, people, positions, roles, sites, tables and files.</w:t>
      </w:r>
    </w:p>
    <w:p>
      <w:pPr>
        <w:pStyle w:val="ListBullet"/>
        <w:keepNext/>
        <w:keepLines/>
      </w:pPr>
      <w:r>
        <w:t>Conditional fields and routing</w:t>
      </w:r>
    </w:p>
    <w:p>
      <w:pPr>
        <w:pStyle w:val="ListBullet"/>
        <w:keepNext/>
        <w:keepLines/>
      </w:pPr>
      <w:r>
        <w:t>Approval targets using people, maintained lists, roles, positions and reporting lines</w:t>
      </w:r>
    </w:p>
    <w:p>
      <w:pPr>
        <w:pStyle w:val="ListBullet"/>
        <w:keepNext/>
        <w:keepLines/>
      </w:pPr>
      <w:r>
        <w:t>Sequential approvals</w:t>
      </w:r>
    </w:p>
    <w:p>
      <w:pPr>
        <w:pStyle w:val="ListBullet"/>
        <w:keepNext/>
        <w:keepLines/>
      </w:pPr>
      <w:r>
        <w:t>Draft saving and resuming</w:t>
      </w:r>
    </w:p>
    <w:p>
      <w:pPr>
        <w:pStyle w:val="ListBullet"/>
        <w:keepNext/>
        <w:keepLines/>
      </w:pPr>
      <w:r>
        <w:t>Return, correction and resubmission</w:t>
      </w:r>
    </w:p>
    <w:p>
      <w:pPr>
        <w:pStyle w:val="ListBullet"/>
        <w:keepNext/>
        <w:keepLines/>
      </w:pPr>
      <w:r>
        <w:t>Rejection and reasoned withdrawal</w:t>
      </w:r>
    </w:p>
    <w:p>
      <w:pPr>
        <w:pStyle w:val="ListBullet"/>
        <w:keepNext/>
        <w:keepLines/>
      </w:pPr>
      <w:r>
        <w:t>Optional post-approval tasks</w:t>
      </w:r>
    </w:p>
    <w:p>
      <w:pPr>
        <w:pStyle w:val="ListBullet"/>
        <w:keepNext/>
        <w:keepLines/>
      </w:pPr>
      <w:r>
        <w:t>Reminders and overdue alerts</w:t>
      </w:r>
    </w:p>
    <w:p>
      <w:pPr>
        <w:pStyle w:val="ListBullet"/>
        <w:keepNext/>
        <w:keepLines/>
      </w:pPr>
      <w:r>
        <w:t>Copying forms and sections</w:t>
      </w:r>
    </w:p>
    <w:p>
      <w:pPr>
        <w:pStyle w:val="ListBullet"/>
        <w:keepNext/>
        <w:keepLines/>
      </w:pPr>
      <w:r>
        <w:t>Published template versions</w:t>
      </w:r>
    </w:p>
    <w:p>
      <w:pPr>
        <w:pStyle w:val="ListBullet"/>
        <w:keepNext/>
        <w:keepLines/>
      </w:pPr>
      <w:r>
        <w:t>History and PDF output</w:t>
      </w:r>
    </w:p>
    <w:p>
      <w:pPr>
        <w:keepLines/>
      </w:pPr>
      <w:r>
        <w:rPr>
          <w:b w:val="0"/>
        </w:rPr>
        <w:t>Extend business requests without separately developing a module for every form.</w:t>
      </w:r>
    </w:p>
    <w:p>
      <w:bookmarkStart w:id="9" w:name="reporting"/>
      <w:pPr>
        <w:pStyle w:val="Heading1"/>
      </w:pPr>
      <w:r>
        <w:t>Reporting actions and automation</w:t>
      </w:r>
      <w:bookmarkEnd w:id="9"/>
    </w:p>
    <w:p>
      <w:pPr>
        <w:pStyle w:val="Heading2"/>
        <w:keepNext/>
        <w:keepLines/>
      </w:pPr>
      <w:r>
        <w:t>Dashboard and My Work</w:t>
      </w:r>
    </w:p>
    <w:p>
      <w:pPr>
        <w:keepNext/>
        <w:keepLines/>
      </w:pPr>
      <w:r>
        <w:rPr>
          <w:b/>
        </w:rPr>
        <w:t>Give every person a clear starting point.</w:t>
      </w:r>
    </w:p>
    <w:p>
      <w:pPr>
        <w:keepNext/>
        <w:keepLines/>
      </w:pPr>
      <w:r>
        <w:rPr>
          <w:b w:val="0"/>
        </w:rPr>
        <w:t>Present relevant shortcuts, indicators and assigned work according to the user’s permissions.</w:t>
      </w:r>
    </w:p>
    <w:p>
      <w:pPr>
        <w:keepLines/>
      </w:pPr>
      <w:r>
        <w:rPr>
          <w:b w:val="0"/>
        </w:rPr>
        <w:t>Bring cross-module tasks and approvals together, reducing the need to search multiple registers for work requiring attention.</w:t>
      </w:r>
    </w:p>
    <w:p>
      <w:pPr>
        <w:pStyle w:val="Heading2"/>
        <w:keepNext/>
        <w:keepLines/>
      </w:pPr>
      <w:r>
        <w:t>Action Management</w:t>
      </w:r>
    </w:p>
    <w:p>
      <w:pPr>
        <w:keepNext/>
        <w:keepLines/>
      </w:pPr>
      <w:r>
        <w:rPr>
          <w:b/>
        </w:rPr>
        <w:t>Make follow-through as visible as the original finding.</w:t>
      </w:r>
    </w:p>
    <w:p>
      <w:pPr>
        <w:keepNext/>
        <w:keepLines/>
      </w:pPr>
      <w:r>
        <w:rPr>
          <w:b w:val="0"/>
        </w:rPr>
        <w:t>Manage stand-alone or linked actions, owners, due dates, priorities, completion criteria and evidence.</w:t>
      </w:r>
    </w:p>
    <w:p>
      <w:pPr>
        <w:keepLines/>
      </w:pPr>
      <w:r>
        <w:rPr>
          <w:b w:val="0"/>
        </w:rPr>
        <w:t>Use independent verification where the workflow requires it.</w:t>
      </w:r>
    </w:p>
    <w:p>
      <w:pPr>
        <w:pStyle w:val="Heading2"/>
        <w:keepNext/>
        <w:keepLines/>
      </w:pPr>
      <w:r>
        <w:t>Report Designer</w:t>
      </w:r>
    </w:p>
    <w:p>
      <w:pPr>
        <w:keepNext/>
        <w:keepLines/>
      </w:pPr>
      <w:r>
        <w:rPr>
          <w:b/>
        </w:rPr>
        <w:t>Answer operational questions without building a new spreadsheet each time.</w:t>
      </w:r>
    </w:p>
    <w:p>
      <w:pPr>
        <w:keepNext/>
        <w:keepLines/>
      </w:pPr>
      <w:r>
        <w:rPr>
          <w:b w:val="0"/>
        </w:rPr>
        <w:t>Build reports using business fields and approved data relationships.</w:t>
      </w:r>
    </w:p>
    <w:p>
      <w:pPr>
        <w:pStyle w:val="ListBullet"/>
        <w:keepNext/>
        <w:keepLines/>
      </w:pPr>
      <w:r>
        <w:t>Searchable field catalogue</w:t>
      </w:r>
    </w:p>
    <w:p>
      <w:pPr>
        <w:pStyle w:val="ListBullet"/>
        <w:keepNext/>
        <w:keepLines/>
      </w:pPr>
      <w:r>
        <w:t>Drag-and-drop columns</w:t>
      </w:r>
    </w:p>
    <w:p>
      <w:pPr>
        <w:pStyle w:val="ListBullet"/>
        <w:keepNext/>
        <w:keepLines/>
      </w:pPr>
      <w:r>
        <w:t>Filters, sorting and aggregation</w:t>
      </w:r>
    </w:p>
    <w:p>
      <w:pPr>
        <w:pStyle w:val="ListBullet"/>
        <w:keepNext/>
        <w:keepLines/>
      </w:pPr>
      <w:r>
        <w:t>Previews</w:t>
      </w:r>
    </w:p>
    <w:p>
      <w:pPr>
        <w:pStyle w:val="ListBullet"/>
        <w:keepNext/>
        <w:keepLines/>
      </w:pPr>
      <w:r>
        <w:t>Saved report designs</w:t>
      </w:r>
    </w:p>
    <w:p>
      <w:pPr>
        <w:pStyle w:val="ListBullet"/>
        <w:keepNext/>
        <w:keepLines/>
      </w:pPr>
      <w:r>
        <w:t>Queued full-report generation</w:t>
      </w:r>
    </w:p>
    <w:p>
      <w:pPr>
        <w:pStyle w:val="ListBullet"/>
        <w:keepNext/>
        <w:keepLines/>
      </w:pPr>
      <w:r>
        <w:t>CSV, Excel and PDF outputs</w:t>
      </w:r>
    </w:p>
    <w:p>
      <w:pPr>
        <w:pStyle w:val="ListBullet"/>
        <w:keepNext/>
        <w:keepLines/>
      </w:pPr>
      <w:r>
        <w:t>Scheduled email delivery</w:t>
      </w:r>
    </w:p>
    <w:p>
      <w:pPr>
        <w:keepLines/>
      </w:pPr>
      <w:r>
        <w:rPr>
          <w:b w:val="0"/>
        </w:rPr>
        <w:t>Source permissions continue to apply to reporting.</w:t>
      </w:r>
    </w:p>
    <w:p>
      <w:pPr>
        <w:pStyle w:val="Heading2"/>
        <w:keepNext/>
        <w:keepLines/>
      </w:pPr>
      <w:r>
        <w:t>Automated Rules</w:t>
      </w:r>
    </w:p>
    <w:p>
      <w:pPr>
        <w:keepNext/>
        <w:keepLines/>
      </w:pPr>
      <w:r>
        <w:rPr>
          <w:b/>
        </w:rPr>
        <w:t>Reduce repetitive assignment and notification work.</w:t>
      </w:r>
    </w:p>
    <w:p>
      <w:pPr>
        <w:keepNext/>
        <w:keepLines/>
      </w:pPr>
      <w:r>
        <w:rPr>
          <w:b w:val="0"/>
        </w:rPr>
        <w:t>Select a population, evaluate configured conditions and apply assignment or notification actions on a schedule.</w:t>
      </w:r>
    </w:p>
    <w:p>
      <w:pPr>
        <w:keepLines/>
      </w:pPr>
      <w:r>
        <w:rPr>
          <w:b w:val="0"/>
        </w:rPr>
        <w:t>Use dry-run results and execution history to review rule behaviour.</w:t>
      </w:r>
    </w:p>
    <w:p>
      <w:pPr>
        <w:pStyle w:val="Heading2"/>
        <w:keepNext/>
        <w:keepLines/>
      </w:pPr>
      <w:r>
        <w:t>Notifications and Communications</w:t>
      </w:r>
    </w:p>
    <w:p>
      <w:pPr>
        <w:keepNext/>
        <w:keepLines/>
      </w:pPr>
      <w:r>
        <w:rPr>
          <w:b/>
        </w:rPr>
        <w:t>Keep people informed about work requiring their attention.</w:t>
      </w:r>
    </w:p>
    <w:p>
      <w:pPr>
        <w:keepNext/>
        <w:keepLines/>
      </w:pPr>
      <w:r>
        <w:rPr>
          <w:b w:val="0"/>
        </w:rPr>
        <w:t>Configure email and in-application messages, reminders and escalations.</w:t>
      </w:r>
    </w:p>
    <w:p>
      <w:pPr>
        <w:keepLines/>
      </w:pPr>
      <w:r>
        <w:rPr>
          <w:b w:val="0"/>
        </w:rPr>
        <w:t>Use rich-text content and branded images or logos. Specialist injury-management and report-delivery workflows retain their own delivery controls.</w:t>
      </w:r>
    </w:p>
    <w:p>
      <w:bookmarkStart w:id="10" w:name="platform"/>
      <w:pPr>
        <w:pStyle w:val="Heading1"/>
      </w:pPr>
      <w:r>
        <w:t>Platform mobile and administration</w:t>
      </w:r>
      <w:bookmarkEnd w:id="10"/>
    </w:p>
    <w:p>
      <w:pPr>
        <w:pStyle w:val="Heading2"/>
        <w:keepNext/>
        <w:keepLines/>
      </w:pPr>
      <w:r>
        <w:t>Roles permissions and organisational scope</w:t>
      </w:r>
    </w:p>
    <w:p>
      <w:pPr>
        <w:keepNext/>
        <w:keepLines/>
      </w:pPr>
      <w:r>
        <w:rPr>
          <w:b/>
        </w:rPr>
        <w:t>Give people the access they need for their responsibilities.</w:t>
      </w:r>
    </w:p>
    <w:p>
      <w:pPr>
        <w:keepNext/>
        <w:keepLines/>
      </w:pPr>
      <w:r>
        <w:rPr>
          <w:b w:val="0"/>
        </w:rPr>
        <w:t>Use assigned and automatic access groups within a common capability model. Relevant record scopes distinguish Mine, My Team including the downline, and All.</w:t>
      </w:r>
    </w:p>
    <w:p>
      <w:pPr>
        <w:keepLines/>
      </w:pPr>
      <w:r>
        <w:rPr>
          <w:b w:val="0"/>
        </w:rPr>
        <w:t>Approval, configuration, clinical and specialist responsibilities remain separately controlled.</w:t>
      </w:r>
    </w:p>
    <w:p>
      <w:pPr>
        <w:pStyle w:val="Heading2"/>
        <w:keepNext/>
        <w:keepLines/>
      </w:pPr>
      <w:r>
        <w:t>Organisation and multi-site configuration</w:t>
      </w:r>
    </w:p>
    <w:p>
      <w:pPr>
        <w:keepNext/>
        <w:keepLines/>
      </w:pPr>
      <w:r>
        <w:rPr>
          <w:b/>
        </w:rPr>
        <w:t>Use a consistent operating structure across the application.</w:t>
      </w:r>
    </w:p>
    <w:p>
      <w:pPr>
        <w:keepNext/>
        <w:keepLines/>
      </w:pPr>
      <w:r>
        <w:rPr>
          <w:b w:val="0"/>
        </w:rPr>
        <w:t>Configure sites, timezones, departments, crews, teams and positions.</w:t>
      </w:r>
    </w:p>
    <w:p>
      <w:pPr>
        <w:keepLines/>
      </w:pPr>
      <w:r>
        <w:rPr>
          <w:b w:val="0"/>
        </w:rPr>
        <w:t>Use the same organisational foundation for workforce records, routing and reporting, with tenant boundaries maintained.</w:t>
      </w:r>
    </w:p>
    <w:p>
      <w:pPr>
        <w:pStyle w:val="Heading2"/>
        <w:keepNext/>
        <w:keepLines/>
      </w:pPr>
      <w:r>
        <w:t>Branding and terminology</w:t>
      </w:r>
    </w:p>
    <w:p>
      <w:pPr>
        <w:keepNext/>
        <w:keepLines/>
      </w:pPr>
      <w:r>
        <w:rPr>
          <w:b/>
        </w:rPr>
        <w:t>Present a familiar and consistent experience for your organisation.</w:t>
      </w:r>
    </w:p>
    <w:p>
      <w:pPr>
        <w:keepNext/>
        <w:keepLines/>
      </w:pPr>
      <w:r>
        <w:rPr>
          <w:b w:val="0"/>
        </w:rPr>
        <w:t>Configure appearance, logos, colours, dashboards, menu labels and terminology.</w:t>
      </w:r>
    </w:p>
    <w:p>
      <w:pPr>
        <w:keepLines/>
      </w:pPr>
      <w:r>
        <w:rPr>
          <w:b w:val="0"/>
        </w:rPr>
        <w:t>Shared forms, tables and controls keep the experience consistent across modules.</w:t>
      </w:r>
    </w:p>
    <w:p>
      <w:pPr>
        <w:pStyle w:val="Heading2"/>
        <w:keepNext/>
        <w:keepLines/>
      </w:pPr>
      <w:r>
        <w:t>Authentication and single sign-on</w:t>
      </w:r>
    </w:p>
    <w:p>
      <w:pPr>
        <w:keepNext/>
        <w:keepLines/>
      </w:pPr>
      <w:r>
        <w:rPr>
          <w:b/>
        </w:rPr>
        <w:t>Connect account access to your identity arrangements.</w:t>
      </w:r>
    </w:p>
    <w:p>
      <w:pPr>
        <w:keepNext/>
        <w:keepLines/>
      </w:pPr>
      <w:r>
        <w:rPr>
          <w:b w:val="0"/>
        </w:rPr>
        <w:t>Support local accounts, invitations, password recovery and OpenID Connect single sign-on.</w:t>
      </w:r>
    </w:p>
    <w:p>
      <w:pPr>
        <w:keepLines/>
      </w:pPr>
      <w:r>
        <w:rPr>
          <w:b w:val="0"/>
        </w:rPr>
        <w:t>Identity authentication remains separate from the permissions granted inside Argent.</w:t>
      </w:r>
    </w:p>
    <w:p>
      <w:pPr>
        <w:pStyle w:val="Heading2"/>
        <w:keepNext/>
        <w:keepLines/>
      </w:pPr>
      <w:r>
        <w:t>Integrations and APIs</w:t>
      </w:r>
    </w:p>
    <w:p>
      <w:pPr>
        <w:keepNext/>
        <w:keepLines/>
      </w:pPr>
      <w:r>
        <w:rPr>
          <w:b/>
        </w:rPr>
        <w:t>Connect authorised systems to supported Argent information.</w:t>
      </w:r>
    </w:p>
    <w:p>
      <w:pPr>
        <w:keepNext/>
        <w:keepLines/>
      </w:pPr>
      <w:r>
        <w:rPr>
          <w:b w:val="0"/>
        </w:rPr>
        <w:t>Use scoped read APIs and signed outbound webhooks.</w:t>
      </w:r>
    </w:p>
    <w:p>
      <w:pPr>
        <w:keepLines/>
      </w:pPr>
      <w:r>
        <w:rPr>
          <w:b w:val="0"/>
        </w:rPr>
        <w:t>Supported API resources include discovery, filters, pagination and business information, subject to their access controls.</w:t>
      </w:r>
    </w:p>
    <w:p>
      <w:pPr>
        <w:pStyle w:val="Heading2"/>
        <w:keepNext/>
        <w:keepLines/>
      </w:pPr>
      <w:r>
        <w:t>Mobile and field use</w:t>
      </w:r>
    </w:p>
    <w:p>
      <w:pPr>
        <w:keepNext/>
        <w:keepLines/>
      </w:pPr>
      <w:r>
        <w:rPr>
          <w:b/>
        </w:rPr>
        <w:t>Support work across desktop, tablet and mobile devices.</w:t>
      </w:r>
    </w:p>
    <w:p>
      <w:pPr>
        <w:keepNext/>
        <w:keepLines/>
      </w:pPr>
      <w:r>
        <w:rPr>
          <w:b w:val="0"/>
        </w:rPr>
        <w:t>The responsive web interface adapts to supported screen sizes. Supported Android and iOS deployments add:</w:t>
      </w:r>
    </w:p>
    <w:p>
      <w:pPr>
        <w:pStyle w:val="ListBullet"/>
        <w:keepNext/>
        <w:keepLines/>
      </w:pPr>
      <w:r>
        <w:t>Encrypted local drafts and evidence</w:t>
      </w:r>
    </w:p>
    <w:p>
      <w:pPr>
        <w:pStyle w:val="ListBullet"/>
        <w:keepNext/>
        <w:keepLines/>
      </w:pPr>
      <w:r>
        <w:t>Queued submissions for supported workflows</w:t>
      </w:r>
    </w:p>
    <w:p>
      <w:pPr>
        <w:pStyle w:val="ListBullet"/>
        <w:keepNext/>
        <w:keepLines/>
      </w:pPr>
      <w:r>
        <w:t>Resumable uploads</w:t>
      </w:r>
    </w:p>
    <w:p>
      <w:pPr>
        <w:pStyle w:val="ListBullet"/>
        <w:keepNext/>
        <w:keepLines/>
      </w:pPr>
      <w:r>
        <w:t>Synchronisation and conflict states</w:t>
      </w:r>
    </w:p>
    <w:p>
      <w:pPr>
        <w:pStyle w:val="ListBullet"/>
        <w:keepNext/>
        <w:keepLines/>
      </w:pPr>
      <w:r>
        <w:t>Full online in-application access</w:t>
      </w:r>
    </w:p>
    <w:p>
      <w:pPr>
        <w:pStyle w:val="ListBullet"/>
        <w:keepNext/>
        <w:keepLines/>
      </w:pPr>
      <w:r>
        <w:t>An isolated visitor tablet experience</w:t>
      </w:r>
    </w:p>
    <w:p>
      <w:pPr>
        <w:keepLines/>
      </w:pPr>
      <w:r>
        <w:rPr>
          <w:b w:val="0"/>
        </w:rPr>
        <w:t>Offline capability is workflow-specific. Actions such as permit approvals remain online.</w:t>
      </w:r>
    </w:p>
    <w:p>
      <w:pPr>
        <w:pStyle w:val="Heading2"/>
        <w:keepNext/>
        <w:keepLines/>
      </w:pPr>
      <w:r>
        <w:t>History evidence and audit</w:t>
      </w:r>
    </w:p>
    <w:p>
      <w:pPr>
        <w:keepNext/>
        <w:keepLines/>
      </w:pPr>
      <w:r>
        <w:rPr>
          <w:b/>
        </w:rPr>
        <w:t>Keep a record of how decisions and information changed.</w:t>
      </w:r>
    </w:p>
    <w:p>
      <w:pPr>
        <w:keepNext/>
        <w:keepLines/>
      </w:pPr>
      <w:r>
        <w:rPr>
          <w:b w:val="0"/>
        </w:rPr>
        <w:t>Maintain versions, actors, reasons, timestamps and protected supporting evidence.</w:t>
      </w:r>
    </w:p>
    <w:p>
      <w:pPr>
        <w:keepLines/>
      </w:pPr>
      <w:r>
        <w:rPr>
          <w:b w:val="0"/>
        </w:rPr>
        <w:t>Submitted and approved versions retain their context for later review and audit.</w:t>
      </w:r>
    </w:p>
    <w:p>
      <w:pPr>
        <w:pStyle w:val="Heading2"/>
        <w:keepNext/>
        <w:keepLines/>
      </w:pPr>
      <w:r>
        <w:t>Maintenance and administration</w:t>
      </w:r>
    </w:p>
    <w:p>
      <w:pPr>
        <w:keepNext/>
        <w:keepLines/>
      </w:pPr>
      <w:r>
        <w:rPr>
          <w:b/>
        </w:rPr>
        <w:t>Manage the platform through controlled configuration.</w:t>
      </w:r>
    </w:p>
    <w:p>
      <w:pPr>
        <w:keepNext/>
        <w:keepLines/>
      </w:pPr>
      <w:r>
        <w:rPr>
          <w:b w:val="0"/>
        </w:rPr>
        <w:t>Administer modules, delegated configuration, branding, imports and accounts.</w:t>
      </w:r>
    </w:p>
    <w:p>
      <w:pPr>
        <w:keepLines/>
      </w:pPr>
      <w:r>
        <w:rPr>
          <w:b w:val="0"/>
        </w:rPr>
        <w:t>Application-wide maintenance mode restricts ordinary access while allowing authorised exceptions and preserving queued work according to the established policy.</w:t>
      </w:r>
    </w:p>
    <w:p>
      <w:pPr>
        <w:pStyle w:val="Heading2"/>
        <w:keepNext/>
        <w:keepLines/>
      </w:pPr>
      <w:r>
        <w:t>Built-in user guidance</w:t>
      </w:r>
    </w:p>
    <w:p>
      <w:pPr>
        <w:keepNext/>
        <w:keepLines/>
      </w:pPr>
      <w:r>
        <w:rPr>
          <w:b/>
        </w:rPr>
        <w:t>Help people learn the tasks relevant to their role.</w:t>
      </w:r>
    </w:p>
    <w:p>
      <w:pPr>
        <w:keepLines/>
      </w:pPr>
      <w:r>
        <w:rPr>
          <w:b w:val="0"/>
        </w:rPr>
        <w:t>A searchable browser guide provides task-based configuration and usage instructions for everyday users, supervisors and administrators.</w:t>
      </w:r>
    </w:p>
    <w:p>
      <w:bookmarkStart w:id="11" w:name="connected"/>
      <w:pPr>
        <w:pStyle w:val="Heading1"/>
        <w:pageBreakBefore/>
      </w:pPr>
      <w:r>
        <w:t>The connected Argent advantage</w:t>
      </w:r>
      <w:bookmarkEnd w:id="11"/>
    </w:p>
    <w:p>
      <w:r>
        <w:rPr>
          <w:b w:val="0"/>
        </w:rPr>
        <w:t>Argent’s strongest examples are business journeys that cross module boundaries. Shared records keep responsibilities, decisions and evidence connected as work moves through the operation.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65"/>
        <w:gridCol w:w="7171"/>
      </w:tblGrid>
      <w:tr>
        <w:trPr>
          <w:cantSplit/>
          <w:tblHeader/>
        </w:trPr>
        <w:tc>
          <w:tcPr>
            <w:tcW w:type="dxa" w:w="2765"/>
            <w:vAlign w:val="center"/>
            <w:shd w:fill="E9EDF2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sz w:val="21"/>
              </w:rPr>
              <w:t>Business need</w:t>
            </w:r>
          </w:p>
        </w:tc>
        <w:tc>
          <w:tcPr>
            <w:tcW w:type="dxa" w:w="7171"/>
            <w:vAlign w:val="center"/>
            <w:shd w:fill="E9EDF2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sz w:val="21"/>
              </w:rPr>
              <w:t>Connected Argent journey</w:t>
            </w:r>
          </w:p>
        </w:tc>
      </w:tr>
      <w:tr>
        <w:trPr>
          <w:cantSplit/>
        </w:trPr>
        <w:tc>
          <w:tcPr>
            <w:tcW w:type="dxa" w:w="2765"/>
            <w:vAlign w:val="center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keepNext/>
              <w:spacing w:after="0" w:line="252" w:lineRule="auto"/>
            </w:pPr>
            <w:r>
              <w:rPr>
                <w:b w:val="0"/>
                <w:sz w:val="21"/>
              </w:rPr>
              <w:t>Prepare a worker for site</w:t>
            </w:r>
          </w:p>
        </w:tc>
        <w:tc>
          <w:tcPr>
            <w:tcW w:type="dxa" w:w="7171"/>
            <w:vAlign w:val="center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keepNext/>
              <w:spacing w:after="0" w:line="252" w:lineRule="auto"/>
            </w:pPr>
            <w:r>
              <w:rPr>
                <w:b w:val="0"/>
                <w:sz w:val="21"/>
              </w:rPr>
              <w:t>People and position requirements → Learning and evidence → Company qualification → Site Access</w:t>
            </w:r>
          </w:p>
        </w:tc>
      </w:tr>
      <w:tr>
        <w:trPr>
          <w:cantSplit/>
        </w:trPr>
        <w:tc>
          <w:tcPr>
            <w:tcW w:type="dxa" w:w="2765"/>
            <w:vAlign w:val="center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keepNext/>
              <w:spacing w:after="0" w:line="252" w:lineRule="auto"/>
            </w:pPr>
            <w:r>
              <w:rPr>
                <w:b w:val="0"/>
                <w:sz w:val="21"/>
              </w:rPr>
              <w:t>Manage major operational risk</w:t>
            </w:r>
          </w:p>
        </w:tc>
        <w:tc>
          <w:tcPr>
            <w:tcW w:type="dxa" w:w="7171"/>
            <w:vAlign w:val="center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keepNext/>
              <w:spacing w:after="0" w:line="252" w:lineRule="auto"/>
            </w:pPr>
            <w:r>
              <w:rPr>
                <w:b w:val="0"/>
                <w:sz w:val="21"/>
              </w:rPr>
              <w:t>BBRA → Material Unwanted Events → Bow Tie → Critical Controls → Verification → Corrective action</w:t>
            </w:r>
          </w:p>
        </w:tc>
      </w:tr>
      <w:tr>
        <w:trPr>
          <w:cantSplit/>
        </w:trPr>
        <w:tc>
          <w:tcPr>
            <w:tcW w:type="dxa" w:w="2765"/>
            <w:vAlign w:val="center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keepNext/>
              <w:spacing w:after="0" w:line="252" w:lineRule="auto"/>
            </w:pPr>
            <w:r>
              <w:rPr>
                <w:b w:val="0"/>
                <w:sz w:val="21"/>
              </w:rPr>
              <w:t>Learn from an event</w:t>
            </w:r>
          </w:p>
        </w:tc>
        <w:tc>
          <w:tcPr>
            <w:tcW w:type="dxa" w:w="7171"/>
            <w:vAlign w:val="center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keepNext/>
              <w:spacing w:after="0" w:line="252" w:lineRule="auto"/>
            </w:pPr>
            <w:r>
              <w:rPr>
                <w:b w:val="0"/>
                <w:sz w:val="21"/>
              </w:rPr>
              <w:t>Event reporting → Investigation → Findings → Assigned actions → Independent verification</w:t>
            </w:r>
          </w:p>
        </w:tc>
      </w:tr>
      <w:tr>
        <w:trPr>
          <w:cantSplit/>
        </w:trPr>
        <w:tc>
          <w:tcPr>
            <w:tcW w:type="dxa" w:w="2765"/>
            <w:vAlign w:val="center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keepNext/>
              <w:spacing w:after="0" w:line="252" w:lineRule="auto"/>
            </w:pPr>
            <w:r>
              <w:rPr>
                <w:b w:val="0"/>
                <w:sz w:val="21"/>
              </w:rPr>
              <w:t>Keep equipment fit for use</w:t>
            </w:r>
          </w:p>
        </w:tc>
        <w:tc>
          <w:tcPr>
            <w:tcW w:type="dxa" w:w="7171"/>
            <w:vAlign w:val="center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keepNext/>
              <w:spacing w:after="0" w:line="252" w:lineRule="auto"/>
            </w:pPr>
            <w:r>
              <w:rPr>
                <w:b w:val="0"/>
                <w:sz w:val="21"/>
              </w:rPr>
              <w:t>Asset record → Inspection → Defect → Corrective work → Updated operational status</w:t>
            </w:r>
          </w:p>
        </w:tc>
      </w:tr>
      <w:tr>
        <w:trPr>
          <w:cantSplit/>
        </w:trPr>
        <w:tc>
          <w:tcPr>
            <w:tcW w:type="dxa" w:w="2765"/>
            <w:vAlign w:val="center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keepNext/>
              <w:spacing w:after="0" w:line="252" w:lineRule="auto"/>
            </w:pPr>
            <w:r>
              <w:rPr>
                <w:b w:val="0"/>
                <w:sz w:val="21"/>
              </w:rPr>
              <w:t>Introduce a chemical</w:t>
            </w:r>
          </w:p>
        </w:tc>
        <w:tc>
          <w:tcPr>
            <w:tcW w:type="dxa" w:w="7171"/>
            <w:vAlign w:val="center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keepNext/>
              <w:spacing w:after="0" w:line="252" w:lineRule="auto"/>
            </w:pPr>
            <w:r>
              <w:rPr>
                <w:b w:val="0"/>
                <w:sz w:val="21"/>
              </w:rPr>
              <w:t>Product information and SDS → Intended site use → Required risk evidence → Independent approval → Published register information</w:t>
            </w:r>
          </w:p>
        </w:tc>
      </w:tr>
      <w:tr>
        <w:trPr>
          <w:cantSplit/>
        </w:trPr>
        <w:tc>
          <w:tcPr>
            <w:tcW w:type="dxa" w:w="2765"/>
            <w:vAlign w:val="center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keepNext/>
              <w:spacing w:after="0" w:line="252" w:lineRule="auto"/>
            </w:pPr>
            <w:r>
              <w:rPr>
                <w:b w:val="0"/>
                <w:sz w:val="21"/>
              </w:rPr>
              <w:t>Plan and support work capacity</w:t>
            </w:r>
          </w:p>
        </w:tc>
        <w:tc>
          <w:tcPr>
            <w:tcW w:type="dxa" w:w="7171"/>
            <w:vAlign w:val="center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keepNext/>
              <w:spacing w:after="0" w:line="252" w:lineRule="auto"/>
            </w:pPr>
            <w:r>
              <w:rPr>
                <w:b w:val="0"/>
                <w:sz w:val="21"/>
              </w:rPr>
              <w:t>Roster → Advisory fatigue modelling, or roster-linked injury capacity and suitable duties planning</w:t>
            </w:r>
          </w:p>
        </w:tc>
      </w:tr>
      <w:tr>
        <w:trPr>
          <w:cantSplit/>
        </w:trPr>
        <w:tc>
          <w:tcPr>
            <w:tcW w:type="dxa" w:w="2765"/>
            <w:vAlign w:val="center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b w:val="0"/>
                <w:sz w:val="21"/>
              </w:rPr>
              <w:t>Implement controlled change</w:t>
            </w:r>
          </w:p>
        </w:tc>
        <w:tc>
          <w:tcPr>
            <w:tcW w:type="dxa" w:w="7171"/>
            <w:vAlign w:val="center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keepNext w:val="0"/>
              <w:spacing w:after="0" w:line="252" w:lineRule="auto"/>
            </w:pPr>
            <w:r>
              <w:rPr>
                <w:b w:val="0"/>
                <w:sz w:val="21"/>
              </w:rPr>
              <w:t>Change request → Impact and risk review → Approval → Implementation actions → Effectiveness review</w:t>
            </w:r>
          </w:p>
        </w:tc>
      </w:tr>
    </w:tbl>
    <w:p>
      <w:r>
        <w:rPr>
          <w:b w:val="0"/>
        </w:rPr>
        <w:t>These connections help reduce duplicate entry, improve visibility of dependencies and keep decisions with their supporting records.</w:t>
      </w:r>
    </w:p>
    <w:p>
      <w:bookmarkStart w:id="12" w:name="business"/>
      <w:pPr>
        <w:pStyle w:val="Heading1"/>
      </w:pPr>
      <w:r>
        <w:t>The business case</w:t>
      </w:r>
      <w:bookmarkEnd w:id="12"/>
    </w:p>
    <w:p>
      <w:r>
        <w:rPr>
          <w:b w:val="0"/>
        </w:rPr>
        <w:t>Argent gives your organisation the opportunity to:</w:t>
      </w:r>
    </w:p>
    <w:p>
      <w:pPr>
        <w:pStyle w:val="ListBullet"/>
      </w:pPr>
      <w:r>
        <w:t>Reduce fragmented administration across registers, spreadsheets and approval chains.</w:t>
      </w:r>
    </w:p>
    <w:p>
      <w:pPr>
        <w:pStyle w:val="ListBullet"/>
      </w:pPr>
      <w:r>
        <w:t>Build workforce capability through role-based learning and verified evidence.</w:t>
      </w:r>
    </w:p>
    <w:p>
      <w:pPr>
        <w:pStyle w:val="ListBullet"/>
      </w:pPr>
      <w:r>
        <w:t>Improve accountability through clear ownership, due dates and decision history.</w:t>
      </w:r>
    </w:p>
    <w:p>
      <w:pPr>
        <w:pStyle w:val="ListBullet"/>
      </w:pPr>
      <w:r>
        <w:t>Strengthen operational consistency with configurable forms and shared processes.</w:t>
      </w:r>
    </w:p>
    <w:p>
      <w:pPr>
        <w:pStyle w:val="ListBullet"/>
      </w:pPr>
      <w:r>
        <w:t>Improve management visibility through connected records and governed reporting.</w:t>
      </w:r>
    </w:p>
    <w:p>
      <w:pPr>
        <w:pStyle w:val="ListBullet"/>
      </w:pPr>
      <w:r>
        <w:t>Scale processes across sites while preserving local requirements.</w:t>
      </w:r>
    </w:p>
    <w:p>
      <w:pPr>
        <w:pStyle w:val="ListBullet"/>
      </w:pPr>
      <w:r>
        <w:t>Respond to change without rebuilding every business process.</w:t>
      </w:r>
    </w:p>
    <w:p>
      <w:pPr>
        <w:pStyle w:val="ListBullet"/>
      </w:pPr>
      <w:r>
        <w:t>Prepare for reviews and audits with accessible evidence and history.</w:t>
      </w:r>
    </w:p>
    <w:p>
      <w:bookmarkStart w:id="13" w:name="closing"/>
      <w:pPr>
        <w:pStyle w:val="Heading1"/>
      </w:pPr>
      <w:r>
        <w:t>Website closing statement</w:t>
      </w:r>
      <w:bookmarkEnd w:id="13"/>
    </w:p>
    <w:p>
      <w:pPr>
        <w:keepNext/>
      </w:pPr>
      <w:r>
        <w:rPr>
          <w:b/>
        </w:rPr>
        <w:t>Bring your people, processes and proof together.</w:t>
      </w:r>
    </w:p>
    <w:p>
      <w:pPr>
        <w:keepNext/>
      </w:pPr>
      <w:r>
        <w:rPr>
          <w:b w:val="0"/>
        </w:rPr>
        <w:t>Argent connects the work happening across your organisation with the requirements, decisions and evidence behind it—helping your business build capability, manage operational risk and maintain clear accountability.</w:t>
      </w:r>
    </w:p>
    <w:p>
      <w:r>
        <w:rPr>
          <w:b/>
        </w:rPr>
        <w:t>Book a demonstration built around your operation.</w:t>
      </w:r>
    </w:p>
    <w:p>
      <w:bookmarkStart w:id="14" w:name="publication"/>
      <w:pPr>
        <w:pStyle w:val="Heading1"/>
      </w:pPr>
      <w:r>
        <w:t>Website publication note</w:t>
      </w:r>
      <w:bookmarkEnd w:id="14"/>
    </w:p>
    <w:p>
      <w:r>
        <w:rPr>
          <w:b w:val="0"/>
        </w:rPr>
        <w:t>Describe native apps, devices and external services as deployment-dependent capabilities. Avoid blanket “unlimited”, guaranteed-compliance or quantified ROI claims unless the commercial terms and supporting evidence establish them.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37" w:left="1152" w:header="432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Argent Workbench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color w:val="000000"/>
        <w:sz w:val="16"/>
      </w:rPr>
      <w:t>ARGENT WORKBENCH  |  PRODUCT FEATURE SUMMARY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140"/>
    </w:pPr>
    <w:rPr>
      <w:rFonts w:ascii="Calibri" w:hAnsi="Calibri"/>
      <w:color w:val="000000"/>
      <w:sz w:val="22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8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8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numPr>
        <w:ilvl w:val="1"/>
      </w:numPr>
      <w:spacing w:before="0" w:after="240"/>
    </w:pPr>
    <w:rPr>
      <w:rFonts w:asciiTheme="majorHAnsi" w:eastAsiaTheme="majorEastAsia" w:hAnsiTheme="majorHAnsi" w:cstheme="majorBidi" w:ascii="Calibri" w:hAnsi="Calibri"/>
      <w:b w:val="0"/>
      <w:i/>
      <w:iCs/>
      <w:color w:val="000000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7" w:lineRule="auto"/>
      <w:contextualSpacing/>
    </w:pPr>
    <w:rPr>
      <w:rFonts w:ascii="Calibri" w:hAnsi="Calibri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Argent Workbench Product Feature Summary</dc:title>
  <dc:subject>Website content and product capabilities</dc:subject>
  <dc:creator>Argent Workbench</dc:creator>
  <cp:keywords>Argent, product features, modules, website, operational assurance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